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C18" w:rsidRPr="00B80C18" w:rsidRDefault="00B80C18" w:rsidP="001157B1">
      <w:pPr>
        <w:spacing w:before="80" w:after="40"/>
        <w:jc w:val="center"/>
        <w:rPr>
          <w:rFonts w:ascii="Times New Roman" w:hAnsi="Times New Roman"/>
          <w:b/>
          <w:sz w:val="24"/>
          <w:szCs w:val="24"/>
        </w:rPr>
      </w:pPr>
      <w:r w:rsidRPr="00B80C18">
        <w:rPr>
          <w:rFonts w:ascii="Times New Roman" w:hAnsi="Times New Roman"/>
          <w:b/>
          <w:sz w:val="24"/>
          <w:szCs w:val="24"/>
        </w:rPr>
        <w:t>TERAPIA DE CONTENSÃO INDUZIDA NO MEMBRO SUPERIOR PARÉTICO DECORRENTE DO ACIDENTE VASCULAR CEREBRAL</w:t>
      </w:r>
    </w:p>
    <w:p w:rsidR="00760F8D" w:rsidRPr="00B80C18" w:rsidRDefault="00760F8D" w:rsidP="001157B1">
      <w:pPr>
        <w:spacing w:before="80" w:after="0" w:line="240" w:lineRule="auto"/>
        <w:contextualSpacing/>
        <w:jc w:val="center"/>
        <w:rPr>
          <w:rFonts w:ascii="Times New Roman" w:hAnsi="Times New Roman"/>
          <w:b/>
          <w:sz w:val="24"/>
          <w:szCs w:val="24"/>
        </w:rPr>
      </w:pPr>
    </w:p>
    <w:p w:rsidR="00760F8D" w:rsidRPr="009544B0" w:rsidRDefault="00B80C18" w:rsidP="001157B1">
      <w:pPr>
        <w:spacing w:before="80" w:after="0" w:line="240" w:lineRule="auto"/>
        <w:contextualSpacing/>
        <w:jc w:val="right"/>
        <w:rPr>
          <w:rFonts w:ascii="Times New Roman" w:hAnsi="Times New Roman"/>
          <w:sz w:val="20"/>
          <w:szCs w:val="20"/>
        </w:rPr>
      </w:pPr>
      <w:proofErr w:type="spellStart"/>
      <w:r>
        <w:rPr>
          <w:rFonts w:ascii="Times New Roman" w:hAnsi="Times New Roman"/>
          <w:sz w:val="20"/>
          <w:szCs w:val="20"/>
        </w:rPr>
        <w:t>LUHM,Daniele</w:t>
      </w:r>
      <w:proofErr w:type="spellEnd"/>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1"/>
      </w:r>
    </w:p>
    <w:p w:rsidR="00760F8D" w:rsidRDefault="00B80C18" w:rsidP="001157B1">
      <w:pPr>
        <w:spacing w:before="80" w:after="40" w:line="240" w:lineRule="auto"/>
        <w:contextualSpacing/>
        <w:jc w:val="right"/>
        <w:rPr>
          <w:rFonts w:ascii="Times New Roman" w:hAnsi="Times New Roman"/>
          <w:sz w:val="20"/>
          <w:szCs w:val="20"/>
        </w:rPr>
      </w:pPr>
      <w:r>
        <w:rPr>
          <w:rFonts w:ascii="Times New Roman" w:hAnsi="Times New Roman"/>
          <w:sz w:val="20"/>
          <w:szCs w:val="20"/>
        </w:rPr>
        <w:t>ROMERO, Cristina</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2"/>
      </w:r>
    </w:p>
    <w:p w:rsidR="003C3345" w:rsidRDefault="003C3345" w:rsidP="001157B1">
      <w:pPr>
        <w:spacing w:before="80" w:after="0" w:line="240" w:lineRule="auto"/>
        <w:contextualSpacing/>
        <w:jc w:val="right"/>
        <w:rPr>
          <w:rFonts w:ascii="Times New Roman" w:hAnsi="Times New Roman"/>
          <w:sz w:val="20"/>
          <w:szCs w:val="20"/>
        </w:rPr>
      </w:pPr>
    </w:p>
    <w:p w:rsidR="003C3345" w:rsidRPr="009544B0" w:rsidRDefault="003C3345" w:rsidP="001157B1">
      <w:pPr>
        <w:spacing w:before="80" w:after="0" w:line="240" w:lineRule="auto"/>
        <w:contextualSpacing/>
        <w:jc w:val="right"/>
        <w:rPr>
          <w:rFonts w:ascii="Times New Roman" w:hAnsi="Times New Roman"/>
          <w:sz w:val="20"/>
          <w:szCs w:val="20"/>
        </w:rPr>
      </w:pPr>
    </w:p>
    <w:p w:rsidR="005611AB" w:rsidRPr="00B80C18" w:rsidRDefault="00B80C18" w:rsidP="001157B1">
      <w:pPr>
        <w:spacing w:before="80" w:after="0" w:line="240" w:lineRule="auto"/>
        <w:contextualSpacing/>
        <w:jc w:val="both"/>
        <w:rPr>
          <w:rFonts w:ascii="Times New Roman" w:hAnsi="Times New Roman"/>
          <w:b/>
          <w:sz w:val="20"/>
          <w:szCs w:val="20"/>
        </w:rPr>
      </w:pPr>
      <w:r>
        <w:rPr>
          <w:rFonts w:ascii="Times New Roman" w:hAnsi="Times New Roman"/>
          <w:b/>
          <w:caps/>
          <w:sz w:val="24"/>
          <w:szCs w:val="24"/>
        </w:rPr>
        <w:t xml:space="preserve"> </w:t>
      </w:r>
      <w:r w:rsidR="005369A0" w:rsidRPr="00B80C18">
        <w:rPr>
          <w:rFonts w:ascii="Times New Roman" w:hAnsi="Times New Roman"/>
          <w:b/>
          <w:caps/>
          <w:sz w:val="20"/>
          <w:szCs w:val="20"/>
        </w:rPr>
        <w:t>R</w:t>
      </w:r>
      <w:r w:rsidR="004E16E7" w:rsidRPr="00B80C18">
        <w:rPr>
          <w:rFonts w:ascii="Times New Roman" w:hAnsi="Times New Roman"/>
          <w:b/>
          <w:caps/>
          <w:sz w:val="20"/>
          <w:szCs w:val="20"/>
        </w:rPr>
        <w:t>esumo</w:t>
      </w:r>
    </w:p>
    <w:p w:rsidR="005611AB" w:rsidRPr="00B80C18" w:rsidRDefault="005611AB" w:rsidP="001157B1">
      <w:pPr>
        <w:spacing w:before="80" w:after="0" w:line="240" w:lineRule="auto"/>
        <w:contextualSpacing/>
        <w:jc w:val="both"/>
        <w:rPr>
          <w:rFonts w:ascii="Times New Roman" w:hAnsi="Times New Roman"/>
          <w:sz w:val="20"/>
          <w:szCs w:val="20"/>
        </w:rPr>
      </w:pPr>
    </w:p>
    <w:p w:rsidR="00B80C18" w:rsidRPr="00B80C18" w:rsidRDefault="00B80C18" w:rsidP="00A02D62">
      <w:pPr>
        <w:spacing w:before="80" w:line="240" w:lineRule="auto"/>
        <w:ind w:right="227"/>
        <w:jc w:val="both"/>
        <w:rPr>
          <w:rFonts w:ascii="Times New Roman" w:hAnsi="Times New Roman"/>
          <w:sz w:val="20"/>
          <w:szCs w:val="20"/>
        </w:rPr>
      </w:pPr>
      <w:r w:rsidRPr="00B80C18">
        <w:rPr>
          <w:rFonts w:ascii="Times New Roman" w:hAnsi="Times New Roman"/>
          <w:sz w:val="20"/>
          <w:szCs w:val="20"/>
        </w:rPr>
        <w:t xml:space="preserve">O Acidente Vascular Cerebral é um déficit neurológico decorrente de uma lesão vascular que persiste por pelo menos 24 horas. Sua extensão de gravidade varia de acordo com a intensidade e local onde ocorre a lesão, em sua maioria deixa limitações físico-motoras, cognitivas e funcionais. A Terapia de Contensão Induzida foi desenvolvida com a finalidade de recuperar a função do membro acometido por uma lesão, através de um treinamento intensivo, e uso de uma restrição. Essa terapêutica é utilizada no tratamento de pacientes, após o AVC, visando melhorar os aspectos motores, sensoriais e funcionais do membro acometido, facilitando assim suas </w:t>
      </w:r>
      <w:proofErr w:type="spellStart"/>
      <w:r w:rsidRPr="00B80C18">
        <w:rPr>
          <w:rFonts w:ascii="Times New Roman" w:hAnsi="Times New Roman"/>
          <w:sz w:val="20"/>
          <w:szCs w:val="20"/>
        </w:rPr>
        <w:t>AVD’s</w:t>
      </w:r>
      <w:proofErr w:type="spellEnd"/>
      <w:r w:rsidRPr="00B80C18">
        <w:rPr>
          <w:rFonts w:ascii="Times New Roman" w:hAnsi="Times New Roman"/>
          <w:sz w:val="20"/>
          <w:szCs w:val="20"/>
        </w:rPr>
        <w:t xml:space="preserve">. Analisar os efeitos da Terapia de Contensão Induzida na recuperação da função motora do MS </w:t>
      </w:r>
      <w:proofErr w:type="spellStart"/>
      <w:r w:rsidRPr="00B80C18">
        <w:rPr>
          <w:rFonts w:ascii="Times New Roman" w:hAnsi="Times New Roman"/>
          <w:sz w:val="20"/>
          <w:szCs w:val="20"/>
        </w:rPr>
        <w:t>parético</w:t>
      </w:r>
      <w:proofErr w:type="spellEnd"/>
      <w:r w:rsidRPr="00B80C18">
        <w:rPr>
          <w:rFonts w:ascii="Times New Roman" w:hAnsi="Times New Roman"/>
          <w:sz w:val="20"/>
          <w:szCs w:val="20"/>
        </w:rPr>
        <w:t xml:space="preserve"> pós AVC</w:t>
      </w:r>
      <w:r w:rsidRPr="00B80C18">
        <w:rPr>
          <w:rFonts w:ascii="Times New Roman" w:hAnsi="Times New Roman"/>
          <w:b/>
          <w:sz w:val="20"/>
          <w:szCs w:val="20"/>
        </w:rPr>
        <w:t>.</w:t>
      </w:r>
      <w:r>
        <w:rPr>
          <w:rFonts w:ascii="Times New Roman" w:hAnsi="Times New Roman"/>
          <w:b/>
          <w:sz w:val="20"/>
          <w:szCs w:val="20"/>
        </w:rPr>
        <w:t xml:space="preserve"> </w:t>
      </w:r>
      <w:r w:rsidRPr="00B80C18">
        <w:rPr>
          <w:rFonts w:ascii="Times New Roman" w:eastAsiaTheme="majorEastAsia" w:hAnsi="Times New Roman"/>
          <w:bCs/>
          <w:sz w:val="20"/>
          <w:szCs w:val="20"/>
        </w:rPr>
        <w:t>A busca dos artigos aconteceu entre os meses de março à junho de 2021,</w:t>
      </w:r>
      <w:r w:rsidRPr="00B80C18">
        <w:rPr>
          <w:rFonts w:ascii="Times New Roman" w:hAnsi="Times New Roman"/>
          <w:sz w:val="20"/>
          <w:szCs w:val="20"/>
        </w:rPr>
        <w:t xml:space="preserve"> nas bases de dados LILACS, </w:t>
      </w:r>
      <w:proofErr w:type="spellStart"/>
      <w:r w:rsidRPr="00B80C18">
        <w:rPr>
          <w:rFonts w:ascii="Times New Roman" w:hAnsi="Times New Roman"/>
          <w:sz w:val="20"/>
          <w:szCs w:val="20"/>
        </w:rPr>
        <w:t>SciELO</w:t>
      </w:r>
      <w:proofErr w:type="spellEnd"/>
      <w:r w:rsidRPr="00B80C18">
        <w:rPr>
          <w:rFonts w:ascii="Times New Roman" w:hAnsi="Times New Roman"/>
          <w:sz w:val="20"/>
          <w:szCs w:val="20"/>
        </w:rPr>
        <w:t xml:space="preserve">, </w:t>
      </w:r>
      <w:proofErr w:type="spellStart"/>
      <w:r w:rsidRPr="00B80C18">
        <w:rPr>
          <w:rFonts w:ascii="Times New Roman" w:hAnsi="Times New Roman"/>
          <w:sz w:val="20"/>
          <w:szCs w:val="20"/>
        </w:rPr>
        <w:t>MedLine</w:t>
      </w:r>
      <w:proofErr w:type="spellEnd"/>
      <w:r w:rsidRPr="00B80C18">
        <w:rPr>
          <w:rFonts w:ascii="Times New Roman" w:hAnsi="Times New Roman"/>
          <w:sz w:val="20"/>
          <w:szCs w:val="20"/>
        </w:rPr>
        <w:t>/</w:t>
      </w:r>
      <w:proofErr w:type="spellStart"/>
      <w:r w:rsidRPr="00B80C18">
        <w:rPr>
          <w:rFonts w:ascii="Times New Roman" w:hAnsi="Times New Roman"/>
          <w:sz w:val="20"/>
          <w:szCs w:val="20"/>
        </w:rPr>
        <w:t>PubMed</w:t>
      </w:r>
      <w:proofErr w:type="spellEnd"/>
      <w:r w:rsidRPr="00B80C18">
        <w:rPr>
          <w:rFonts w:ascii="Times New Roman" w:hAnsi="Times New Roman"/>
          <w:sz w:val="20"/>
          <w:szCs w:val="20"/>
        </w:rPr>
        <w:t xml:space="preserve"> e </w:t>
      </w:r>
      <w:proofErr w:type="spellStart"/>
      <w:r w:rsidRPr="00B80C18">
        <w:rPr>
          <w:rFonts w:ascii="Times New Roman" w:hAnsi="Times New Roman"/>
          <w:sz w:val="20"/>
          <w:szCs w:val="20"/>
        </w:rPr>
        <w:t>PEDro</w:t>
      </w:r>
      <w:proofErr w:type="spellEnd"/>
      <w:r w:rsidRPr="00B80C18">
        <w:rPr>
          <w:rFonts w:ascii="Times New Roman" w:hAnsi="Times New Roman"/>
          <w:sz w:val="20"/>
          <w:szCs w:val="20"/>
        </w:rPr>
        <w:t>. Usando os descritores: “</w:t>
      </w:r>
      <w:proofErr w:type="spellStart"/>
      <w:r w:rsidRPr="00B80C18">
        <w:rPr>
          <w:rFonts w:ascii="Times New Roman" w:hAnsi="Times New Roman"/>
          <w:sz w:val="20"/>
          <w:szCs w:val="20"/>
        </w:rPr>
        <w:t>Therapy</w:t>
      </w:r>
      <w:proofErr w:type="spellEnd"/>
      <w:r w:rsidRPr="00B80C18">
        <w:rPr>
          <w:rFonts w:ascii="Times New Roman" w:hAnsi="Times New Roman"/>
          <w:sz w:val="20"/>
          <w:szCs w:val="20"/>
        </w:rPr>
        <w:t xml:space="preserve"> </w:t>
      </w:r>
      <w:proofErr w:type="spellStart"/>
      <w:r w:rsidRPr="00B80C18">
        <w:rPr>
          <w:rFonts w:ascii="Times New Roman" w:hAnsi="Times New Roman"/>
          <w:sz w:val="20"/>
          <w:szCs w:val="20"/>
        </w:rPr>
        <w:t>Restricted</w:t>
      </w:r>
      <w:proofErr w:type="spellEnd"/>
      <w:r w:rsidRPr="00B80C18">
        <w:rPr>
          <w:rFonts w:ascii="Times New Roman" w:hAnsi="Times New Roman"/>
          <w:sz w:val="20"/>
          <w:szCs w:val="20"/>
        </w:rPr>
        <w:t xml:space="preserve"> Motion”, “</w:t>
      </w:r>
      <w:proofErr w:type="spellStart"/>
      <w:r w:rsidRPr="00B80C18">
        <w:rPr>
          <w:rFonts w:ascii="Times New Roman" w:hAnsi="Times New Roman"/>
          <w:sz w:val="20"/>
          <w:szCs w:val="20"/>
        </w:rPr>
        <w:t>stroke</w:t>
      </w:r>
      <w:proofErr w:type="spellEnd"/>
      <w:r w:rsidRPr="00B80C18">
        <w:rPr>
          <w:rFonts w:ascii="Times New Roman" w:hAnsi="Times New Roman"/>
          <w:sz w:val="20"/>
          <w:szCs w:val="20"/>
        </w:rPr>
        <w:t>’’, “hemiparesia’’, “</w:t>
      </w:r>
      <w:proofErr w:type="spellStart"/>
      <w:r w:rsidRPr="00B80C18">
        <w:rPr>
          <w:rFonts w:ascii="Times New Roman" w:hAnsi="Times New Roman"/>
          <w:sz w:val="20"/>
          <w:szCs w:val="20"/>
        </w:rPr>
        <w:t>Upper</w:t>
      </w:r>
      <w:proofErr w:type="spellEnd"/>
      <w:r w:rsidRPr="00B80C18">
        <w:rPr>
          <w:rFonts w:ascii="Times New Roman" w:hAnsi="Times New Roman"/>
          <w:sz w:val="20"/>
          <w:szCs w:val="20"/>
        </w:rPr>
        <w:t xml:space="preserve"> </w:t>
      </w:r>
      <w:proofErr w:type="spellStart"/>
      <w:r w:rsidRPr="00B80C18">
        <w:rPr>
          <w:rFonts w:ascii="Times New Roman" w:hAnsi="Times New Roman"/>
          <w:sz w:val="20"/>
          <w:szCs w:val="20"/>
        </w:rPr>
        <w:t>extremity</w:t>
      </w:r>
      <w:proofErr w:type="spellEnd"/>
      <w:r w:rsidRPr="00B80C18">
        <w:rPr>
          <w:rFonts w:ascii="Times New Roman" w:hAnsi="Times New Roman"/>
          <w:sz w:val="20"/>
          <w:szCs w:val="20"/>
        </w:rPr>
        <w:t>’’, e “</w:t>
      </w:r>
      <w:proofErr w:type="spellStart"/>
      <w:r w:rsidRPr="00B80C18">
        <w:rPr>
          <w:rFonts w:ascii="Times New Roman" w:hAnsi="Times New Roman"/>
          <w:sz w:val="20"/>
          <w:szCs w:val="20"/>
        </w:rPr>
        <w:t>rehabilitation</w:t>
      </w:r>
      <w:proofErr w:type="spellEnd"/>
      <w:r w:rsidRPr="00B80C18">
        <w:rPr>
          <w:rFonts w:ascii="Times New Roman" w:hAnsi="Times New Roman"/>
          <w:sz w:val="20"/>
          <w:szCs w:val="20"/>
        </w:rPr>
        <w:t xml:space="preserve">”. Os estudos demonstraram aumentos significativos da função motora do MS </w:t>
      </w:r>
      <w:proofErr w:type="spellStart"/>
      <w:r w:rsidRPr="00B80C18">
        <w:rPr>
          <w:rFonts w:ascii="Times New Roman" w:hAnsi="Times New Roman"/>
          <w:sz w:val="20"/>
          <w:szCs w:val="20"/>
        </w:rPr>
        <w:t>parético</w:t>
      </w:r>
      <w:proofErr w:type="spellEnd"/>
      <w:r w:rsidRPr="00B80C18">
        <w:rPr>
          <w:rFonts w:ascii="Times New Roman" w:hAnsi="Times New Roman"/>
          <w:sz w:val="20"/>
          <w:szCs w:val="20"/>
        </w:rPr>
        <w:t xml:space="preserve"> de pacientes com AVC agudo a crônico grave, após o protocolo de TCI modificada e associada a </w:t>
      </w:r>
      <w:proofErr w:type="spellStart"/>
      <w:r w:rsidRPr="00B80C18">
        <w:rPr>
          <w:rFonts w:ascii="Times New Roman" w:hAnsi="Times New Roman"/>
          <w:sz w:val="20"/>
          <w:szCs w:val="20"/>
        </w:rPr>
        <w:t>tDCS</w:t>
      </w:r>
      <w:proofErr w:type="spellEnd"/>
      <w:r w:rsidRPr="00B80C18">
        <w:rPr>
          <w:rFonts w:ascii="Times New Roman" w:hAnsi="Times New Roman"/>
          <w:sz w:val="20"/>
          <w:szCs w:val="20"/>
        </w:rPr>
        <w:t xml:space="preserve">, de 2 a 3 semanas, entre 2 a 4 horas diárias, com cerca de 90% da hora vigília. A TCI gera resultados satisfatórios em sua aplicabilidade. Além disso, quando associada à outra terapia, o resultado se torna ainda mais favorável em relação à função motora do membro superior </w:t>
      </w:r>
      <w:proofErr w:type="spellStart"/>
      <w:r w:rsidRPr="00B80C18">
        <w:rPr>
          <w:rFonts w:ascii="Times New Roman" w:hAnsi="Times New Roman"/>
          <w:sz w:val="20"/>
          <w:szCs w:val="20"/>
        </w:rPr>
        <w:t>parético</w:t>
      </w:r>
      <w:proofErr w:type="spellEnd"/>
      <w:r w:rsidRPr="00B80C18">
        <w:rPr>
          <w:rFonts w:ascii="Times New Roman" w:hAnsi="Times New Roman"/>
          <w:sz w:val="20"/>
          <w:szCs w:val="20"/>
        </w:rPr>
        <w:t>, após AVC.</w:t>
      </w:r>
    </w:p>
    <w:p w:rsidR="00DC6C07" w:rsidRPr="00B80C18" w:rsidRDefault="00B80C18" w:rsidP="001157B1">
      <w:pPr>
        <w:spacing w:before="80" w:after="0" w:line="240" w:lineRule="auto"/>
        <w:contextualSpacing/>
        <w:jc w:val="both"/>
        <w:rPr>
          <w:rFonts w:ascii="Times New Roman" w:hAnsi="Times New Roman"/>
          <w:sz w:val="20"/>
          <w:szCs w:val="20"/>
        </w:rPr>
      </w:pPr>
      <w:r w:rsidRPr="00B80C18">
        <w:rPr>
          <w:rFonts w:ascii="Times New Roman" w:hAnsi="Times New Roman"/>
          <w:b/>
          <w:color w:val="000000"/>
          <w:sz w:val="20"/>
          <w:szCs w:val="20"/>
        </w:rPr>
        <w:t xml:space="preserve">Palavras-chave: </w:t>
      </w:r>
      <w:r w:rsidRPr="00B80C18">
        <w:rPr>
          <w:rFonts w:ascii="Times New Roman" w:hAnsi="Times New Roman"/>
          <w:sz w:val="20"/>
          <w:szCs w:val="20"/>
        </w:rPr>
        <w:t xml:space="preserve">Terapia Restrição do </w:t>
      </w:r>
      <w:r w:rsidRPr="00B80C18">
        <w:rPr>
          <w:rFonts w:ascii="Times New Roman" w:hAnsi="Times New Roman"/>
          <w:color w:val="000000" w:themeColor="text1"/>
          <w:sz w:val="20"/>
          <w:szCs w:val="20"/>
        </w:rPr>
        <w:t>Movimento</w:t>
      </w:r>
      <w:r w:rsidRPr="00B80C18">
        <w:rPr>
          <w:rFonts w:ascii="Times New Roman" w:hAnsi="Times New Roman"/>
          <w:sz w:val="20"/>
          <w:szCs w:val="20"/>
        </w:rPr>
        <w:t>, AVC, Hemiparesia, Membro superior.</w:t>
      </w:r>
    </w:p>
    <w:p w:rsidR="0071287A" w:rsidRPr="00B80C18" w:rsidRDefault="0071287A" w:rsidP="001157B1">
      <w:pPr>
        <w:spacing w:before="80" w:after="0" w:line="240" w:lineRule="auto"/>
        <w:contextualSpacing/>
        <w:jc w:val="center"/>
        <w:rPr>
          <w:rFonts w:ascii="Times New Roman" w:hAnsi="Times New Roman"/>
          <w:b/>
          <w:sz w:val="24"/>
          <w:szCs w:val="24"/>
        </w:rPr>
      </w:pPr>
    </w:p>
    <w:p w:rsidR="005611AB" w:rsidRPr="00E37C87" w:rsidRDefault="005611AB" w:rsidP="001157B1">
      <w:pPr>
        <w:pStyle w:val="Ttulo1"/>
        <w:spacing w:before="80" w:after="0" w:line="240" w:lineRule="auto"/>
        <w:contextualSpacing/>
        <w:jc w:val="left"/>
        <w:rPr>
          <w:rFonts w:ascii="Times New Roman" w:hAnsi="Times New Roman" w:cs="Times New Roman"/>
        </w:rPr>
      </w:pPr>
      <w:bookmarkStart w:id="0" w:name="_Toc358054186"/>
      <w:bookmarkStart w:id="1" w:name="_Toc360478776"/>
    </w:p>
    <w:p w:rsidR="005369A0" w:rsidRPr="003C3345" w:rsidRDefault="005369A0" w:rsidP="001157B1">
      <w:pPr>
        <w:pStyle w:val="Ttulo1"/>
        <w:spacing w:before="80" w:after="0" w:line="360" w:lineRule="auto"/>
        <w:contextualSpacing/>
        <w:jc w:val="left"/>
        <w:rPr>
          <w:rFonts w:ascii="Times New Roman" w:hAnsi="Times New Roman" w:cs="Times New Roman"/>
        </w:rPr>
      </w:pPr>
      <w:r w:rsidRPr="009544B0">
        <w:rPr>
          <w:rFonts w:ascii="Times New Roman" w:hAnsi="Times New Roman" w:cs="Times New Roman"/>
        </w:rPr>
        <w:t>1</w:t>
      </w:r>
      <w:r w:rsidR="00CB5A9C" w:rsidRPr="009544B0">
        <w:rPr>
          <w:rFonts w:ascii="Times New Roman" w:hAnsi="Times New Roman" w:cs="Times New Roman"/>
        </w:rPr>
        <w:t>.</w:t>
      </w:r>
      <w:r w:rsidR="008E4BDA" w:rsidRPr="009544B0">
        <w:rPr>
          <w:rFonts w:ascii="Times New Roman" w:hAnsi="Times New Roman" w:cs="Times New Roman"/>
        </w:rPr>
        <w:t xml:space="preserve"> </w:t>
      </w:r>
      <w:r w:rsidRPr="003C3345">
        <w:rPr>
          <w:rFonts w:ascii="Times New Roman" w:hAnsi="Times New Roman" w:cs="Times New Roman"/>
        </w:rPr>
        <w:t>INTRODUÇÃO</w:t>
      </w:r>
      <w:bookmarkEnd w:id="0"/>
      <w:bookmarkEnd w:id="1"/>
    </w:p>
    <w:p w:rsidR="004A2CC9" w:rsidRPr="004A2CC9" w:rsidRDefault="005369A0" w:rsidP="001157B1">
      <w:pPr>
        <w:spacing w:before="80" w:line="360" w:lineRule="auto"/>
        <w:ind w:firstLine="567"/>
        <w:jc w:val="both"/>
        <w:rPr>
          <w:rFonts w:ascii="Times New Roman" w:hAnsi="Times New Roman"/>
          <w:sz w:val="24"/>
          <w:szCs w:val="24"/>
        </w:rPr>
      </w:pPr>
      <w:r w:rsidRPr="003C3345">
        <w:rPr>
          <w:rFonts w:ascii="Times New Roman" w:hAnsi="Times New Roman"/>
          <w:b/>
          <w:sz w:val="24"/>
          <w:szCs w:val="24"/>
        </w:rPr>
        <w:tab/>
      </w:r>
      <w:bookmarkStart w:id="2" w:name="_Toc358054192"/>
      <w:bookmarkStart w:id="3" w:name="_Toc360478782"/>
      <w:r w:rsidR="004A2CC9" w:rsidRPr="004A2CC9">
        <w:rPr>
          <w:rFonts w:ascii="Times New Roman" w:hAnsi="Times New Roman"/>
          <w:sz w:val="24"/>
          <w:szCs w:val="24"/>
        </w:rPr>
        <w:t>O Acidente Vascular Cerebral (AVC), de acordo com a Organização Mundial da Saúde, é compreendido como o desenvolvimento rápido de sinais clínicos de distúrbios focais ou globais da função cerebral que persistem por mais de 24 horas, sendo  considerado uma das principais causas de mortes, e de importante impacto social e econômico.</w:t>
      </w:r>
    </w:p>
    <w:p w:rsidR="004A2CC9" w:rsidRPr="004A2CC9" w:rsidRDefault="004A2CC9" w:rsidP="001157B1">
      <w:pPr>
        <w:spacing w:before="80" w:line="360" w:lineRule="auto"/>
        <w:ind w:firstLine="567"/>
        <w:jc w:val="both"/>
        <w:rPr>
          <w:rFonts w:ascii="Times New Roman" w:hAnsi="Times New Roman"/>
          <w:color w:val="44546A" w:themeColor="text2"/>
          <w:sz w:val="24"/>
          <w:szCs w:val="24"/>
        </w:rPr>
      </w:pPr>
      <w:r w:rsidRPr="004A2CC9">
        <w:rPr>
          <w:rFonts w:ascii="Times New Roman" w:hAnsi="Times New Roman"/>
          <w:sz w:val="24"/>
          <w:szCs w:val="24"/>
        </w:rPr>
        <w:t xml:space="preserve">Pode-se apresentar em duas formas: Isquêmica, causado por </w:t>
      </w:r>
      <w:proofErr w:type="spellStart"/>
      <w:r w:rsidRPr="004A2CC9">
        <w:rPr>
          <w:rFonts w:ascii="Times New Roman" w:hAnsi="Times New Roman"/>
          <w:sz w:val="24"/>
          <w:szCs w:val="24"/>
        </w:rPr>
        <w:t>hipoperfusão</w:t>
      </w:r>
      <w:proofErr w:type="spellEnd"/>
      <w:r w:rsidRPr="004A2CC9">
        <w:rPr>
          <w:rFonts w:ascii="Times New Roman" w:hAnsi="Times New Roman"/>
          <w:sz w:val="24"/>
          <w:szCs w:val="24"/>
        </w:rPr>
        <w:t xml:space="preserve"> sistêmica, trombose ou </w:t>
      </w:r>
      <w:proofErr w:type="spellStart"/>
      <w:r w:rsidRPr="004A2CC9">
        <w:rPr>
          <w:rFonts w:ascii="Times New Roman" w:hAnsi="Times New Roman"/>
          <w:sz w:val="24"/>
          <w:szCs w:val="24"/>
        </w:rPr>
        <w:t>embolismo</w:t>
      </w:r>
      <w:proofErr w:type="spellEnd"/>
      <w:r w:rsidRPr="004A2CC9">
        <w:rPr>
          <w:rFonts w:ascii="Times New Roman" w:hAnsi="Times New Roman"/>
          <w:sz w:val="24"/>
          <w:szCs w:val="24"/>
        </w:rPr>
        <w:t xml:space="preserve"> de origem vascular ou cardíaca, e Hemorrágica (subaracnóidea ou </w:t>
      </w:r>
      <w:proofErr w:type="spellStart"/>
      <w:r w:rsidRPr="004A2CC9">
        <w:rPr>
          <w:rFonts w:ascii="Times New Roman" w:hAnsi="Times New Roman"/>
          <w:sz w:val="24"/>
          <w:szCs w:val="24"/>
        </w:rPr>
        <w:t>intraparênquimatoso</w:t>
      </w:r>
      <w:proofErr w:type="spellEnd"/>
      <w:r w:rsidRPr="004A2CC9">
        <w:rPr>
          <w:rFonts w:ascii="Times New Roman" w:hAnsi="Times New Roman"/>
          <w:sz w:val="24"/>
          <w:szCs w:val="24"/>
        </w:rPr>
        <w:t xml:space="preserve">). A hemorragia subaracnóidea tem como principais causas os aneurismas e má formações arteriovenosas, enquanto o </w:t>
      </w:r>
      <w:proofErr w:type="spellStart"/>
      <w:r w:rsidRPr="004A2CC9">
        <w:rPr>
          <w:rFonts w:ascii="Times New Roman" w:hAnsi="Times New Roman"/>
          <w:sz w:val="24"/>
          <w:szCs w:val="24"/>
        </w:rPr>
        <w:t>intraparênquimatoso</w:t>
      </w:r>
      <w:proofErr w:type="spellEnd"/>
      <w:r w:rsidRPr="004A2CC9">
        <w:rPr>
          <w:rFonts w:ascii="Times New Roman" w:hAnsi="Times New Roman"/>
          <w:sz w:val="24"/>
          <w:szCs w:val="24"/>
        </w:rPr>
        <w:t xml:space="preserve"> tem por causas as doenças arteriolares hipertensivas, hemorragia </w:t>
      </w:r>
      <w:proofErr w:type="spellStart"/>
      <w:r w:rsidRPr="004A2CC9">
        <w:rPr>
          <w:rFonts w:ascii="Times New Roman" w:hAnsi="Times New Roman"/>
          <w:sz w:val="24"/>
          <w:szCs w:val="24"/>
        </w:rPr>
        <w:lastRenderedPageBreak/>
        <w:t>intra</w:t>
      </w:r>
      <w:proofErr w:type="spellEnd"/>
      <w:r w:rsidRPr="004A2CC9">
        <w:rPr>
          <w:rFonts w:ascii="Times New Roman" w:hAnsi="Times New Roman"/>
          <w:sz w:val="24"/>
          <w:szCs w:val="24"/>
        </w:rPr>
        <w:t xml:space="preserve"> infarto, deposição </w:t>
      </w:r>
      <w:proofErr w:type="spellStart"/>
      <w:r w:rsidRPr="004A2CC9">
        <w:rPr>
          <w:rFonts w:ascii="Times New Roman" w:hAnsi="Times New Roman"/>
          <w:sz w:val="24"/>
          <w:szCs w:val="24"/>
        </w:rPr>
        <w:t>amilóide</w:t>
      </w:r>
      <w:proofErr w:type="spellEnd"/>
      <w:r w:rsidRPr="004A2CC9">
        <w:rPr>
          <w:rFonts w:ascii="Times New Roman" w:hAnsi="Times New Roman"/>
          <w:sz w:val="24"/>
          <w:szCs w:val="24"/>
        </w:rPr>
        <w:t xml:space="preserve"> e más formações arteriovenosas. Sua extensão de gravidade varia de acordo com a intensidade e local onde ocorre a lesão, em sua maioria deixa sequelas – deficiência parcial ou completa. (FERREIRA et al., 2007; FEIGN et al, 2009).</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Uma importante sequela motora é a hemiparesia ou hemiplegia, um estado físico composto por uma paresia ou </w:t>
      </w:r>
      <w:proofErr w:type="spellStart"/>
      <w:r w:rsidRPr="004A2CC9">
        <w:rPr>
          <w:rFonts w:ascii="Times New Roman" w:hAnsi="Times New Roman"/>
          <w:sz w:val="24"/>
          <w:szCs w:val="24"/>
        </w:rPr>
        <w:t>plegia</w:t>
      </w:r>
      <w:proofErr w:type="spellEnd"/>
      <w:r w:rsidRPr="004A2CC9">
        <w:rPr>
          <w:rFonts w:ascii="Times New Roman" w:hAnsi="Times New Roman"/>
          <w:sz w:val="24"/>
          <w:szCs w:val="24"/>
        </w:rPr>
        <w:t xml:space="preserve"> de um </w:t>
      </w:r>
      <w:proofErr w:type="spellStart"/>
      <w:r w:rsidRPr="004A2CC9">
        <w:rPr>
          <w:rFonts w:ascii="Times New Roman" w:hAnsi="Times New Roman"/>
          <w:sz w:val="24"/>
          <w:szCs w:val="24"/>
        </w:rPr>
        <w:t>hemicorpo</w:t>
      </w:r>
      <w:proofErr w:type="spellEnd"/>
      <w:r w:rsidRPr="004A2CC9">
        <w:rPr>
          <w:rFonts w:ascii="Times New Roman" w:hAnsi="Times New Roman"/>
          <w:sz w:val="24"/>
          <w:szCs w:val="24"/>
        </w:rPr>
        <w:t>. Após uma lesão no sistema nervoso central (SNC) em decorrência de um AVC, a movimentação harmônica estará comprometida em vários aspectos, os quais envolvem a biomecânica dos MMSS, destacando-se por alterações de tônus muscular, sinergias de movimento (como a sinergia flexora), padrões de espasticidade, reações e movimentos associados, alterações perceptivas cognitivas e sensoriais (DAVIES, 2008).</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Dentre os vários </w:t>
      </w:r>
      <w:proofErr w:type="spellStart"/>
      <w:r w:rsidRPr="004A2CC9">
        <w:rPr>
          <w:rFonts w:ascii="Times New Roman" w:hAnsi="Times New Roman"/>
          <w:sz w:val="24"/>
          <w:szCs w:val="24"/>
        </w:rPr>
        <w:t>deficits</w:t>
      </w:r>
      <w:proofErr w:type="spellEnd"/>
      <w:r w:rsidRPr="004A2CC9">
        <w:rPr>
          <w:rFonts w:ascii="Times New Roman" w:hAnsi="Times New Roman"/>
          <w:sz w:val="24"/>
          <w:szCs w:val="24"/>
        </w:rPr>
        <w:t xml:space="preserve"> apresentados pelos indivíduos com hemiparesia, destaca-se o maior acometimento do MS contralateral à lesão encefálica. O MS sadio, assume a função de alcance e preensão, gerando uma diminuição no uso do MS afetado. Essa diminuição do uso funcional do MS afetado pela lesão foi denominada, inicialmente, pelo neurocientista Edward </w:t>
      </w:r>
      <w:proofErr w:type="spellStart"/>
      <w:r w:rsidRPr="004A2CC9">
        <w:rPr>
          <w:rFonts w:ascii="Times New Roman" w:hAnsi="Times New Roman"/>
          <w:sz w:val="24"/>
          <w:szCs w:val="24"/>
        </w:rPr>
        <w:t>Taub</w:t>
      </w:r>
      <w:proofErr w:type="spellEnd"/>
      <w:r w:rsidRPr="004A2CC9">
        <w:rPr>
          <w:rFonts w:ascii="Times New Roman" w:hAnsi="Times New Roman"/>
          <w:sz w:val="24"/>
          <w:szCs w:val="24"/>
        </w:rPr>
        <w:t xml:space="preserve"> de teoria do “não uso aprendido”. A teoria fala que frente às tentativas motoras sem sucesso executadas pelo MS afetado, há a supressão comportamental do movimento. Assim, a redução do uso é decorrente não apenas da lesão do SNC em si e da redução das zonas de representação cortical, mas, principalmente, de variáveis comportamentais (TAUB, 1977; TAUB et al., 1994, TAUB; USWATTE, 2006; USWATTE; TAUB, 2005).</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Existem programas terapêuticos para esses pacientes que se mostram capazes de melhorar os resultados funcionais, sendo a fisioterapia um componente indispensável neste processo. Uma intervenção atualmente muito utilizada para o tratamento do MS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é a Terapia de Contensão Induzida (no inglês: “</w:t>
      </w:r>
      <w:proofErr w:type="spellStart"/>
      <w:r w:rsidRPr="004A2CC9">
        <w:rPr>
          <w:rFonts w:ascii="Times New Roman" w:hAnsi="Times New Roman"/>
          <w:sz w:val="24"/>
          <w:szCs w:val="24"/>
        </w:rPr>
        <w:t>Constraint</w:t>
      </w:r>
      <w:proofErr w:type="spellEnd"/>
      <w:r w:rsidRPr="004A2CC9">
        <w:rPr>
          <w:rFonts w:ascii="Times New Roman" w:hAnsi="Times New Roman"/>
          <w:sz w:val="24"/>
          <w:szCs w:val="24"/>
        </w:rPr>
        <w:t xml:space="preserve"> </w:t>
      </w:r>
      <w:proofErr w:type="spellStart"/>
      <w:r w:rsidRPr="004A2CC9">
        <w:rPr>
          <w:rFonts w:ascii="Times New Roman" w:hAnsi="Times New Roman"/>
          <w:sz w:val="24"/>
          <w:szCs w:val="24"/>
        </w:rPr>
        <w:t>Induced</w:t>
      </w:r>
      <w:proofErr w:type="spellEnd"/>
      <w:r w:rsidRPr="004A2CC9">
        <w:rPr>
          <w:rFonts w:ascii="Times New Roman" w:hAnsi="Times New Roman"/>
          <w:sz w:val="24"/>
          <w:szCs w:val="24"/>
        </w:rPr>
        <w:t xml:space="preserve"> </w:t>
      </w:r>
      <w:proofErr w:type="spellStart"/>
      <w:r w:rsidRPr="004A2CC9">
        <w:rPr>
          <w:rFonts w:ascii="Times New Roman" w:hAnsi="Times New Roman"/>
          <w:sz w:val="24"/>
          <w:szCs w:val="24"/>
        </w:rPr>
        <w:t>Movement</w:t>
      </w:r>
      <w:proofErr w:type="spellEnd"/>
      <w:r w:rsidRPr="004A2CC9">
        <w:rPr>
          <w:rFonts w:ascii="Times New Roman" w:hAnsi="Times New Roman"/>
          <w:sz w:val="24"/>
          <w:szCs w:val="24"/>
        </w:rPr>
        <w:t xml:space="preserve"> </w:t>
      </w:r>
      <w:proofErr w:type="spellStart"/>
      <w:r w:rsidRPr="004A2CC9">
        <w:rPr>
          <w:rFonts w:ascii="Times New Roman" w:hAnsi="Times New Roman"/>
          <w:sz w:val="24"/>
          <w:szCs w:val="24"/>
        </w:rPr>
        <w:t>Therapy</w:t>
      </w:r>
      <w:proofErr w:type="spellEnd"/>
      <w:r w:rsidRPr="004A2CC9">
        <w:rPr>
          <w:rFonts w:ascii="Times New Roman" w:hAnsi="Times New Roman"/>
          <w:sz w:val="24"/>
          <w:szCs w:val="24"/>
        </w:rPr>
        <w:t>”).</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  Esta terapia foi desenvolvida com o finalidade de recuperar a função do membro acometido por uma lesão através de um treinamento intensivo, o uso de uma restrição durante cerca de 90% do dia com o pacote de transferência (pacote de </w:t>
      </w:r>
      <w:r w:rsidRPr="004A2CC9">
        <w:rPr>
          <w:rFonts w:ascii="Times New Roman" w:hAnsi="Times New Roman"/>
          <w:sz w:val="24"/>
          <w:szCs w:val="24"/>
        </w:rPr>
        <w:lastRenderedPageBreak/>
        <w:t xml:space="preserve">métodos comportamentais). Essa terapêutica, é utilizada no tratamento de pacientes, após o AVC, visando melhorar a função motora e sensorial do membro acometido, facilitando assim suas </w:t>
      </w:r>
      <w:proofErr w:type="spellStart"/>
      <w:r w:rsidRPr="004A2CC9">
        <w:rPr>
          <w:rFonts w:ascii="Times New Roman" w:hAnsi="Times New Roman"/>
          <w:sz w:val="24"/>
          <w:szCs w:val="24"/>
        </w:rPr>
        <w:t>AVD’s</w:t>
      </w:r>
      <w:proofErr w:type="spellEnd"/>
      <w:r w:rsidRPr="004A2CC9">
        <w:rPr>
          <w:rFonts w:ascii="Times New Roman" w:hAnsi="Times New Roman"/>
          <w:sz w:val="24"/>
          <w:szCs w:val="24"/>
        </w:rPr>
        <w:t>.</w:t>
      </w:r>
    </w:p>
    <w:p w:rsidR="00161967"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Por isso, este estudo, terá como finalidade, verificar os efeitos da Terapia de Contensão Induzida (TCI) como estratégia de recuperação da função motora de membro superior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decorrente do AVC.</w:t>
      </w:r>
    </w:p>
    <w:p w:rsidR="007734EA" w:rsidRPr="009544B0" w:rsidRDefault="005E703E" w:rsidP="001157B1">
      <w:pPr>
        <w:pStyle w:val="textocaio"/>
        <w:spacing w:before="80" w:line="360" w:lineRule="auto"/>
        <w:ind w:firstLine="0"/>
        <w:contextualSpacing/>
        <w:rPr>
          <w:rFonts w:ascii="Times New Roman" w:hAnsi="Times New Roman"/>
          <w:b/>
          <w:szCs w:val="24"/>
        </w:rPr>
      </w:pPr>
      <w:r w:rsidRPr="009544B0">
        <w:rPr>
          <w:rFonts w:ascii="Times New Roman" w:hAnsi="Times New Roman"/>
          <w:b/>
          <w:szCs w:val="24"/>
        </w:rPr>
        <w:t>2</w:t>
      </w:r>
      <w:r w:rsidR="00CB5A9C" w:rsidRPr="009544B0">
        <w:rPr>
          <w:rFonts w:ascii="Times New Roman" w:hAnsi="Times New Roman"/>
          <w:b/>
          <w:szCs w:val="24"/>
        </w:rPr>
        <w:t>.</w:t>
      </w:r>
      <w:r w:rsidRPr="009544B0">
        <w:rPr>
          <w:rFonts w:ascii="Times New Roman" w:hAnsi="Times New Roman"/>
          <w:b/>
          <w:szCs w:val="24"/>
        </w:rPr>
        <w:t xml:space="preserve"> </w:t>
      </w:r>
      <w:bookmarkEnd w:id="2"/>
      <w:bookmarkEnd w:id="3"/>
      <w:r w:rsidR="002476A2" w:rsidRPr="009544B0">
        <w:rPr>
          <w:rFonts w:ascii="Times New Roman" w:hAnsi="Times New Roman"/>
          <w:b/>
          <w:szCs w:val="24"/>
        </w:rPr>
        <w:t>FUNDAMENTAÇÃO TEÓRICA</w:t>
      </w:r>
    </w:p>
    <w:p w:rsidR="00DD6432" w:rsidRDefault="00DD6432" w:rsidP="001157B1">
      <w:pPr>
        <w:spacing w:before="80" w:line="360" w:lineRule="auto"/>
        <w:ind w:firstLine="567"/>
        <w:jc w:val="both"/>
        <w:rPr>
          <w:rFonts w:ascii="Times New Roman" w:hAnsi="Times New Roman"/>
          <w:sz w:val="24"/>
          <w:szCs w:val="24"/>
        </w:rPr>
      </w:pPr>
      <w:r>
        <w:rPr>
          <w:rFonts w:ascii="Times New Roman" w:hAnsi="Times New Roman"/>
          <w:sz w:val="24"/>
          <w:szCs w:val="24"/>
        </w:rPr>
        <w:t>“</w:t>
      </w:r>
      <w:r w:rsidR="003C3345" w:rsidRPr="003C3345">
        <w:rPr>
          <w:rFonts w:ascii="Times New Roman" w:hAnsi="Times New Roman"/>
          <w:sz w:val="24"/>
          <w:szCs w:val="24"/>
        </w:rPr>
        <w:t>O Acidente Vascular Cer</w:t>
      </w:r>
      <w:r w:rsidR="001157B1">
        <w:rPr>
          <w:rFonts w:ascii="Times New Roman" w:hAnsi="Times New Roman"/>
          <w:sz w:val="24"/>
          <w:szCs w:val="24"/>
        </w:rPr>
        <w:t xml:space="preserve">ebral (AVC), é considerado uma </w:t>
      </w:r>
      <w:r w:rsidR="003C3345" w:rsidRPr="003C3345">
        <w:rPr>
          <w:rFonts w:ascii="Times New Roman" w:hAnsi="Times New Roman"/>
          <w:sz w:val="24"/>
          <w:szCs w:val="24"/>
        </w:rPr>
        <w:t>das principais causas de morte no mundo, juntamente com as doenças isquêmicas de coração, doença pulmonar obstrutiva crônica (DPOC) e a diabetes.</w:t>
      </w:r>
      <w:r>
        <w:rPr>
          <w:rFonts w:ascii="Times New Roman" w:hAnsi="Times New Roman"/>
          <w:sz w:val="24"/>
          <w:szCs w:val="24"/>
        </w:rPr>
        <w:t>’’</w:t>
      </w:r>
      <w:r w:rsidR="003C3345" w:rsidRPr="003C3345">
        <w:rPr>
          <w:rFonts w:ascii="Times New Roman" w:hAnsi="Times New Roman"/>
          <w:sz w:val="24"/>
          <w:szCs w:val="24"/>
        </w:rPr>
        <w:t xml:space="preserve"> (MURRAY,C.,2013) </w:t>
      </w:r>
    </w:p>
    <w:p w:rsidR="003C3345" w:rsidRPr="003C3345" w:rsidRDefault="00DD6432" w:rsidP="001157B1">
      <w:pPr>
        <w:spacing w:before="80" w:line="360" w:lineRule="auto"/>
        <w:ind w:firstLine="567"/>
        <w:jc w:val="both"/>
        <w:rPr>
          <w:rFonts w:ascii="Times New Roman" w:hAnsi="Times New Roman"/>
          <w:sz w:val="24"/>
          <w:szCs w:val="24"/>
        </w:rPr>
      </w:pPr>
      <w:r>
        <w:rPr>
          <w:rFonts w:ascii="Times New Roman" w:hAnsi="Times New Roman"/>
          <w:sz w:val="24"/>
          <w:szCs w:val="24"/>
        </w:rPr>
        <w:t>“</w:t>
      </w:r>
      <w:r w:rsidR="003C3345" w:rsidRPr="003C3345">
        <w:rPr>
          <w:rFonts w:ascii="Times New Roman" w:hAnsi="Times New Roman"/>
          <w:sz w:val="24"/>
          <w:szCs w:val="24"/>
        </w:rPr>
        <w:t>O AVC é um déficit neurológico que perdura por pelo menos vinte e quatro horas e resultam em lesões cerebrais provocadas por alterações na irrigação sanguínea.</w:t>
      </w:r>
      <w:r>
        <w:rPr>
          <w:rFonts w:ascii="Times New Roman" w:hAnsi="Times New Roman"/>
          <w:sz w:val="24"/>
          <w:szCs w:val="24"/>
        </w:rPr>
        <w:t>’’</w:t>
      </w:r>
      <w:r w:rsidR="003C3345" w:rsidRPr="003C3345">
        <w:rPr>
          <w:rFonts w:ascii="Times New Roman" w:hAnsi="Times New Roman"/>
          <w:sz w:val="24"/>
          <w:szCs w:val="24"/>
        </w:rPr>
        <w:t>( MAUSNER,1999)</w:t>
      </w:r>
    </w:p>
    <w:p w:rsidR="003C3345" w:rsidRPr="003C3345" w:rsidRDefault="003C3345" w:rsidP="001157B1">
      <w:pPr>
        <w:spacing w:before="80" w:line="360" w:lineRule="auto"/>
        <w:ind w:firstLine="567"/>
        <w:jc w:val="both"/>
        <w:rPr>
          <w:rFonts w:ascii="Times New Roman" w:hAnsi="Times New Roman"/>
          <w:sz w:val="24"/>
          <w:szCs w:val="24"/>
        </w:rPr>
      </w:pPr>
      <w:r w:rsidRPr="003C3345">
        <w:rPr>
          <w:rFonts w:ascii="Times New Roman" w:hAnsi="Times New Roman"/>
          <w:sz w:val="24"/>
          <w:szCs w:val="24"/>
        </w:rPr>
        <w:t xml:space="preserve"> Pode ser transitório ou definitivo e apresenta diversas etiologias: O AVC isquêmico é resultante da insuficiência dos suprimentos sanguíneo no cérebro por um episódio transitório ou permanente; AVC hemorrágico </w:t>
      </w:r>
      <w:proofErr w:type="spellStart"/>
      <w:r w:rsidRPr="003C3345">
        <w:rPr>
          <w:rFonts w:ascii="Times New Roman" w:hAnsi="Times New Roman"/>
          <w:sz w:val="24"/>
          <w:szCs w:val="24"/>
        </w:rPr>
        <w:t>subaracnóide</w:t>
      </w:r>
      <w:proofErr w:type="spellEnd"/>
      <w:r w:rsidRPr="003C3345">
        <w:rPr>
          <w:rFonts w:ascii="Times New Roman" w:hAnsi="Times New Roman"/>
          <w:sz w:val="24"/>
          <w:szCs w:val="24"/>
        </w:rPr>
        <w:t>, é decorrente da ruptura de aneuris</w:t>
      </w:r>
      <w:bookmarkStart w:id="4" w:name="_GoBack"/>
      <w:bookmarkEnd w:id="4"/>
      <w:r w:rsidRPr="003C3345">
        <w:rPr>
          <w:rFonts w:ascii="Times New Roman" w:hAnsi="Times New Roman"/>
          <w:sz w:val="24"/>
          <w:szCs w:val="24"/>
        </w:rPr>
        <w:t xml:space="preserve">mas saculares congênitos; e AVC hemorrágico </w:t>
      </w:r>
      <w:proofErr w:type="spellStart"/>
      <w:r w:rsidRPr="003C3345">
        <w:rPr>
          <w:rFonts w:ascii="Times New Roman" w:hAnsi="Times New Roman"/>
          <w:sz w:val="24"/>
          <w:szCs w:val="24"/>
        </w:rPr>
        <w:t>intraparênquimatoso</w:t>
      </w:r>
      <w:proofErr w:type="spellEnd"/>
      <w:r w:rsidRPr="003C3345">
        <w:rPr>
          <w:rFonts w:ascii="Times New Roman" w:hAnsi="Times New Roman"/>
          <w:sz w:val="24"/>
          <w:szCs w:val="24"/>
        </w:rPr>
        <w:t xml:space="preserve">, onde ocorre a degeneração hialina das artérias </w:t>
      </w:r>
      <w:proofErr w:type="spellStart"/>
      <w:r w:rsidRPr="003C3345">
        <w:rPr>
          <w:rFonts w:ascii="Times New Roman" w:hAnsi="Times New Roman"/>
          <w:sz w:val="24"/>
          <w:szCs w:val="24"/>
        </w:rPr>
        <w:t>intraparenquimatosas</w:t>
      </w:r>
      <w:proofErr w:type="spellEnd"/>
      <w:r w:rsidRPr="003C3345">
        <w:rPr>
          <w:rFonts w:ascii="Times New Roman" w:hAnsi="Times New Roman"/>
          <w:sz w:val="24"/>
          <w:szCs w:val="24"/>
        </w:rPr>
        <w:t xml:space="preserve"> cerebrais (RADANOVIC, M., 2000)</w:t>
      </w:r>
    </w:p>
    <w:p w:rsidR="003C3345" w:rsidRPr="003C3345" w:rsidRDefault="003C3345" w:rsidP="001157B1">
      <w:pPr>
        <w:spacing w:before="80" w:line="360" w:lineRule="auto"/>
        <w:ind w:firstLine="567"/>
        <w:jc w:val="both"/>
        <w:rPr>
          <w:rFonts w:ascii="Times New Roman" w:hAnsi="Times New Roman"/>
          <w:sz w:val="24"/>
          <w:szCs w:val="24"/>
        </w:rPr>
      </w:pPr>
      <w:r w:rsidRPr="003C3345">
        <w:rPr>
          <w:rFonts w:ascii="Times New Roman" w:hAnsi="Times New Roman"/>
          <w:sz w:val="24"/>
          <w:szCs w:val="24"/>
        </w:rPr>
        <w:t xml:space="preserve">Dentre os fatores de risco para o AVC, existem aqueles considerados como não modificáveis, como: idade, sexo, hereditariedade, raça negra e evento prévio. Já os fatores de risco modificáveis são: hipertensão arterial sistêmica, fibrilação atrial, doença valvar reumática, </w:t>
      </w:r>
      <w:proofErr w:type="spellStart"/>
      <w:r w:rsidRPr="003C3345">
        <w:rPr>
          <w:rFonts w:ascii="Times New Roman" w:hAnsi="Times New Roman"/>
          <w:sz w:val="24"/>
          <w:szCs w:val="24"/>
        </w:rPr>
        <w:t>miocardiopatia</w:t>
      </w:r>
      <w:proofErr w:type="spellEnd"/>
      <w:r w:rsidRPr="003C3345">
        <w:rPr>
          <w:rFonts w:ascii="Times New Roman" w:hAnsi="Times New Roman"/>
          <w:sz w:val="24"/>
          <w:szCs w:val="24"/>
        </w:rPr>
        <w:t>, diabetes, tabagismo, dislipidemias, alcoolismo, obesidade, sedentarismo, obstrução de carótidas, aumento do fibrinogênio sérico e acidente isquêmico transitório (FERREIRA et al., 2007)</w:t>
      </w:r>
    </w:p>
    <w:p w:rsidR="003C3345" w:rsidRPr="003C3345" w:rsidRDefault="00DD6432" w:rsidP="001157B1">
      <w:pPr>
        <w:spacing w:before="80" w:line="360" w:lineRule="auto"/>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Radanovic</w:t>
      </w:r>
      <w:proofErr w:type="spellEnd"/>
      <w:r w:rsidR="003C3345" w:rsidRPr="003C3345">
        <w:rPr>
          <w:rFonts w:ascii="Times New Roman" w:hAnsi="Times New Roman"/>
          <w:sz w:val="24"/>
          <w:szCs w:val="24"/>
        </w:rPr>
        <w:t xml:space="preserve"> (2000), </w:t>
      </w:r>
      <w:r>
        <w:rPr>
          <w:rFonts w:ascii="Times New Roman" w:hAnsi="Times New Roman"/>
          <w:sz w:val="24"/>
          <w:szCs w:val="24"/>
        </w:rPr>
        <w:t xml:space="preserve"> afirma que: ‘‘</w:t>
      </w:r>
      <w:r w:rsidR="003C3345" w:rsidRPr="003C3345">
        <w:rPr>
          <w:rFonts w:ascii="Times New Roman" w:hAnsi="Times New Roman"/>
          <w:sz w:val="24"/>
          <w:szCs w:val="24"/>
        </w:rPr>
        <w:t xml:space="preserve">dentre os principais fatores de risco para o AVC encontram-se a hipertensão artérias sistêmica (HAS), as cardiopatias, o diabetes mellitus (DM),tumores, </w:t>
      </w:r>
      <w:proofErr w:type="spellStart"/>
      <w:r w:rsidR="003C3345" w:rsidRPr="003C3345">
        <w:rPr>
          <w:rFonts w:ascii="Times New Roman" w:hAnsi="Times New Roman"/>
          <w:sz w:val="24"/>
          <w:szCs w:val="24"/>
        </w:rPr>
        <w:t>coagulopatias</w:t>
      </w:r>
      <w:proofErr w:type="spellEnd"/>
      <w:r w:rsidR="003C3345" w:rsidRPr="003C3345">
        <w:rPr>
          <w:rFonts w:ascii="Times New Roman" w:hAnsi="Times New Roman"/>
          <w:sz w:val="24"/>
          <w:szCs w:val="24"/>
        </w:rPr>
        <w:t xml:space="preserve"> e </w:t>
      </w:r>
      <w:proofErr w:type="spellStart"/>
      <w:r w:rsidR="003C3345" w:rsidRPr="003C3345">
        <w:rPr>
          <w:rFonts w:ascii="Times New Roman" w:hAnsi="Times New Roman"/>
          <w:sz w:val="24"/>
          <w:szCs w:val="24"/>
        </w:rPr>
        <w:t>arterites</w:t>
      </w:r>
      <w:proofErr w:type="spellEnd"/>
      <w:r w:rsidR="003C3345" w:rsidRPr="003C3345">
        <w:rPr>
          <w:rFonts w:ascii="Times New Roman" w:hAnsi="Times New Roman"/>
          <w:sz w:val="24"/>
          <w:szCs w:val="24"/>
        </w:rPr>
        <w:t xml:space="preserve"> inflamatórias e/ou infecciosas.</w:t>
      </w:r>
      <w:r>
        <w:rPr>
          <w:rFonts w:ascii="Times New Roman" w:hAnsi="Times New Roman"/>
          <w:sz w:val="24"/>
          <w:szCs w:val="24"/>
        </w:rPr>
        <w:t>’’</w:t>
      </w:r>
    </w:p>
    <w:p w:rsidR="003C3345" w:rsidRPr="003C3345" w:rsidRDefault="00DD6432" w:rsidP="001157B1">
      <w:pPr>
        <w:spacing w:before="80" w:line="360" w:lineRule="auto"/>
        <w:ind w:firstLine="567"/>
        <w:jc w:val="both"/>
        <w:rPr>
          <w:rFonts w:ascii="Times New Roman" w:hAnsi="Times New Roman"/>
          <w:sz w:val="24"/>
          <w:szCs w:val="24"/>
        </w:rPr>
      </w:pPr>
      <w:r>
        <w:rPr>
          <w:rFonts w:ascii="Times New Roman" w:hAnsi="Times New Roman"/>
          <w:sz w:val="24"/>
          <w:szCs w:val="24"/>
        </w:rPr>
        <w:lastRenderedPageBreak/>
        <w:t>Ambos os autores, Franceschini</w:t>
      </w:r>
      <w:r w:rsidR="003C3345" w:rsidRPr="003C3345">
        <w:rPr>
          <w:rFonts w:ascii="Times New Roman" w:hAnsi="Times New Roman"/>
          <w:sz w:val="24"/>
          <w:szCs w:val="24"/>
        </w:rPr>
        <w:t xml:space="preserve"> </w:t>
      </w:r>
      <w:r>
        <w:rPr>
          <w:rFonts w:ascii="Times New Roman" w:hAnsi="Times New Roman"/>
          <w:sz w:val="24"/>
          <w:szCs w:val="24"/>
        </w:rPr>
        <w:t xml:space="preserve">et al (2010) e </w:t>
      </w:r>
      <w:proofErr w:type="spellStart"/>
      <w:r>
        <w:rPr>
          <w:rFonts w:ascii="Times New Roman" w:hAnsi="Times New Roman"/>
          <w:sz w:val="24"/>
          <w:szCs w:val="24"/>
        </w:rPr>
        <w:t>Altschuler</w:t>
      </w:r>
      <w:proofErr w:type="spellEnd"/>
      <w:r>
        <w:rPr>
          <w:rFonts w:ascii="Times New Roman" w:hAnsi="Times New Roman"/>
          <w:sz w:val="24"/>
          <w:szCs w:val="24"/>
        </w:rPr>
        <w:t xml:space="preserve"> </w:t>
      </w:r>
      <w:r w:rsidR="003C3345" w:rsidRPr="003C3345">
        <w:rPr>
          <w:rFonts w:ascii="Times New Roman" w:hAnsi="Times New Roman"/>
          <w:sz w:val="24"/>
          <w:szCs w:val="24"/>
        </w:rPr>
        <w:t>et al. (1999),</w:t>
      </w:r>
      <w:r>
        <w:rPr>
          <w:rFonts w:ascii="Times New Roman" w:hAnsi="Times New Roman"/>
          <w:sz w:val="24"/>
          <w:szCs w:val="24"/>
        </w:rPr>
        <w:t xml:space="preserve"> '‘</w:t>
      </w:r>
      <w:r w:rsidR="003C3345" w:rsidRPr="003C3345">
        <w:rPr>
          <w:rFonts w:ascii="Times New Roman" w:hAnsi="Times New Roman"/>
          <w:sz w:val="24"/>
          <w:szCs w:val="24"/>
        </w:rPr>
        <w:t>apontam que a hemiparesia está relacionada a um impacto prejudicial na percepção da qualidade de vida (QV) do paciente após AVC e que é uma das sequelas mais comuns e incapacitantes da doença.</w:t>
      </w:r>
      <w:r>
        <w:rPr>
          <w:rFonts w:ascii="Times New Roman" w:hAnsi="Times New Roman"/>
          <w:sz w:val="24"/>
          <w:szCs w:val="24"/>
        </w:rPr>
        <w:t>’’</w:t>
      </w:r>
    </w:p>
    <w:p w:rsidR="003C3345" w:rsidRPr="003C3345" w:rsidRDefault="00DD6432" w:rsidP="001157B1">
      <w:pPr>
        <w:spacing w:before="80" w:line="360" w:lineRule="auto"/>
        <w:ind w:firstLine="567"/>
        <w:jc w:val="both"/>
        <w:rPr>
          <w:rFonts w:ascii="Times New Roman" w:hAnsi="Times New Roman"/>
          <w:sz w:val="24"/>
          <w:szCs w:val="24"/>
        </w:rPr>
      </w:pPr>
      <w:r>
        <w:rPr>
          <w:rFonts w:ascii="Times New Roman" w:hAnsi="Times New Roman"/>
          <w:sz w:val="24"/>
          <w:szCs w:val="24"/>
        </w:rPr>
        <w:t>‘‘</w:t>
      </w:r>
      <w:r w:rsidR="003C3345" w:rsidRPr="003C3345">
        <w:rPr>
          <w:rFonts w:ascii="Times New Roman" w:hAnsi="Times New Roman"/>
          <w:sz w:val="24"/>
          <w:szCs w:val="24"/>
        </w:rPr>
        <w:t>Dentre os vários déficits apresentados pelos indivíduos com hemiparesia, destaca-se o maior acometimento do MS contralateral à lesão encefálica</w:t>
      </w:r>
      <w:r>
        <w:rPr>
          <w:rFonts w:ascii="Times New Roman" w:hAnsi="Times New Roman"/>
          <w:sz w:val="24"/>
          <w:szCs w:val="24"/>
        </w:rPr>
        <w:t>’’</w:t>
      </w:r>
      <w:r w:rsidR="003C3345" w:rsidRPr="003C3345">
        <w:rPr>
          <w:rFonts w:ascii="Times New Roman" w:hAnsi="Times New Roman"/>
          <w:sz w:val="24"/>
          <w:szCs w:val="24"/>
        </w:rPr>
        <w:t xml:space="preserve"> (LANGAN; VAN DONKELAAR, 2008). </w:t>
      </w:r>
      <w:r>
        <w:rPr>
          <w:rFonts w:ascii="Times New Roman" w:hAnsi="Times New Roman"/>
          <w:sz w:val="24"/>
          <w:szCs w:val="24"/>
        </w:rPr>
        <w:t>‘‘</w:t>
      </w:r>
      <w:r w:rsidR="003C3345" w:rsidRPr="003C3345">
        <w:rPr>
          <w:rFonts w:ascii="Times New Roman" w:hAnsi="Times New Roman"/>
          <w:sz w:val="24"/>
          <w:szCs w:val="24"/>
        </w:rPr>
        <w:t xml:space="preserve">O então MS sadio, ou menos afetado, assume a função de alcance e </w:t>
      </w:r>
      <w:proofErr w:type="spellStart"/>
      <w:r w:rsidR="003C3345" w:rsidRPr="003C3345">
        <w:rPr>
          <w:rFonts w:ascii="Times New Roman" w:hAnsi="Times New Roman"/>
          <w:sz w:val="24"/>
          <w:szCs w:val="24"/>
        </w:rPr>
        <w:t>preensão,atividade</w:t>
      </w:r>
      <w:proofErr w:type="spellEnd"/>
      <w:r w:rsidR="003C3345" w:rsidRPr="003C3345">
        <w:rPr>
          <w:rFonts w:ascii="Times New Roman" w:hAnsi="Times New Roman"/>
          <w:sz w:val="24"/>
          <w:szCs w:val="24"/>
        </w:rPr>
        <w:t>, gerando uma diminuição no uso do MS afetado (MSA)</w:t>
      </w:r>
      <w:r>
        <w:rPr>
          <w:rFonts w:ascii="Times New Roman" w:hAnsi="Times New Roman"/>
          <w:sz w:val="24"/>
          <w:szCs w:val="24"/>
        </w:rPr>
        <w:t>’’</w:t>
      </w:r>
      <w:r w:rsidR="003C3345" w:rsidRPr="003C3345">
        <w:rPr>
          <w:rFonts w:ascii="Times New Roman" w:hAnsi="Times New Roman"/>
          <w:sz w:val="24"/>
          <w:szCs w:val="24"/>
        </w:rPr>
        <w:t xml:space="preserve"> (LANGAN; VAN DONKELAAR, 2008; BROUWER; SALE; NORDSTROM, 2001)</w:t>
      </w:r>
    </w:p>
    <w:p w:rsidR="003C3345" w:rsidRPr="003C3345" w:rsidRDefault="003C3345" w:rsidP="001157B1">
      <w:pPr>
        <w:spacing w:before="80" w:line="360" w:lineRule="auto"/>
        <w:ind w:firstLine="567"/>
        <w:jc w:val="both"/>
        <w:rPr>
          <w:rFonts w:ascii="Times New Roman" w:hAnsi="Times New Roman"/>
          <w:sz w:val="24"/>
          <w:szCs w:val="24"/>
        </w:rPr>
      </w:pPr>
      <w:r w:rsidRPr="003C3345">
        <w:rPr>
          <w:rFonts w:ascii="Times New Roman" w:hAnsi="Times New Roman"/>
          <w:sz w:val="24"/>
          <w:szCs w:val="24"/>
        </w:rPr>
        <w:t>Essa diminuição do uso do membro superior afetado (MSA) pela lesão foi denominad</w:t>
      </w:r>
      <w:r w:rsidR="00DD6432">
        <w:rPr>
          <w:rFonts w:ascii="Times New Roman" w:hAnsi="Times New Roman"/>
          <w:sz w:val="24"/>
          <w:szCs w:val="24"/>
        </w:rPr>
        <w:t>a</w:t>
      </w:r>
      <w:r w:rsidRPr="003C3345">
        <w:rPr>
          <w:rFonts w:ascii="Times New Roman" w:hAnsi="Times New Roman"/>
          <w:sz w:val="24"/>
          <w:szCs w:val="24"/>
        </w:rPr>
        <w:t xml:space="preserve">, pelo neurocientista Edward </w:t>
      </w:r>
      <w:proofErr w:type="spellStart"/>
      <w:r w:rsidRPr="003C3345">
        <w:rPr>
          <w:rFonts w:ascii="Times New Roman" w:hAnsi="Times New Roman"/>
          <w:sz w:val="24"/>
          <w:szCs w:val="24"/>
        </w:rPr>
        <w:t>Taub</w:t>
      </w:r>
      <w:proofErr w:type="spellEnd"/>
      <w:r w:rsidRPr="003C3345">
        <w:rPr>
          <w:rFonts w:ascii="Times New Roman" w:hAnsi="Times New Roman"/>
          <w:sz w:val="24"/>
          <w:szCs w:val="24"/>
        </w:rPr>
        <w:t>, de teoria do “não uso aprendido”. A teoria  fala que através das tentativas motoras sem sucesso executadas pelo MSA, há a uma extinção comportamental do movimento. Assim, a redução do uso é decorrente não apenas da lesão do SNC em si e da redução das zonas de representação cortical, mas, principalmente, de variáveis comportamentais (TAUB, 1977; TAUB et al., 1994, TAUB; USWATTE, 2006; USWATTE; TAUB, 2005).</w:t>
      </w:r>
    </w:p>
    <w:p w:rsidR="003C3345" w:rsidRPr="003C3345" w:rsidRDefault="00DD6432" w:rsidP="001157B1">
      <w:pPr>
        <w:spacing w:before="80" w:line="360" w:lineRule="auto"/>
        <w:ind w:firstLine="567"/>
        <w:jc w:val="both"/>
        <w:rPr>
          <w:rFonts w:ascii="Times New Roman" w:hAnsi="Times New Roman"/>
          <w:sz w:val="24"/>
          <w:szCs w:val="24"/>
        </w:rPr>
      </w:pPr>
      <w:r>
        <w:rPr>
          <w:rFonts w:ascii="Times New Roman" w:hAnsi="Times New Roman"/>
          <w:sz w:val="24"/>
          <w:szCs w:val="24"/>
        </w:rPr>
        <w:t>“</w:t>
      </w:r>
      <w:r w:rsidR="003C3345" w:rsidRPr="003C3345">
        <w:rPr>
          <w:rFonts w:ascii="Times New Roman" w:hAnsi="Times New Roman"/>
          <w:sz w:val="24"/>
          <w:szCs w:val="24"/>
        </w:rPr>
        <w:t xml:space="preserve">A Terapia por Contensão Induzida (TCI) ou Técnica de Restrição do  movimento tem como objetivo recuperar a função do membro superior (MS) que tem por apresentar déficits motores após lesões encefálicas </w:t>
      </w:r>
      <w:r>
        <w:rPr>
          <w:rFonts w:ascii="Times New Roman" w:hAnsi="Times New Roman"/>
          <w:sz w:val="24"/>
          <w:szCs w:val="24"/>
        </w:rPr>
        <w:t>‘</w:t>
      </w:r>
      <w:r w:rsidR="003C3345" w:rsidRPr="003C3345">
        <w:rPr>
          <w:rFonts w:ascii="Times New Roman" w:hAnsi="Times New Roman"/>
          <w:sz w:val="24"/>
          <w:szCs w:val="24"/>
        </w:rPr>
        <w:t xml:space="preserve">(SILVA; TAMASHIRO, 2010; GIANLORENCO; KIRISAWA, 2013). </w:t>
      </w:r>
    </w:p>
    <w:p w:rsidR="003C3345" w:rsidRPr="003C3345" w:rsidRDefault="00086657" w:rsidP="001157B1">
      <w:pPr>
        <w:spacing w:before="80" w:line="360" w:lineRule="auto"/>
        <w:ind w:firstLine="567"/>
        <w:jc w:val="both"/>
        <w:rPr>
          <w:rFonts w:ascii="Times New Roman" w:hAnsi="Times New Roman"/>
          <w:sz w:val="24"/>
          <w:szCs w:val="24"/>
        </w:rPr>
      </w:pPr>
      <w:r>
        <w:rPr>
          <w:rFonts w:ascii="Times New Roman" w:hAnsi="Times New Roman"/>
          <w:sz w:val="24"/>
          <w:szCs w:val="24"/>
        </w:rPr>
        <w:t>“</w:t>
      </w:r>
      <w:r w:rsidR="003C3345" w:rsidRPr="003C3345">
        <w:rPr>
          <w:rFonts w:ascii="Times New Roman" w:hAnsi="Times New Roman"/>
          <w:sz w:val="24"/>
          <w:szCs w:val="24"/>
        </w:rPr>
        <w:t xml:space="preserve">O foco deste programa terapêutico é a desprogramação do desuso motor, ou seja, fazer com que o paciente </w:t>
      </w:r>
      <w:proofErr w:type="spellStart"/>
      <w:r w:rsidR="003C3345" w:rsidRPr="003C3345">
        <w:rPr>
          <w:rFonts w:ascii="Times New Roman" w:hAnsi="Times New Roman"/>
          <w:sz w:val="24"/>
          <w:szCs w:val="24"/>
        </w:rPr>
        <w:t>hemiparético</w:t>
      </w:r>
      <w:proofErr w:type="spellEnd"/>
      <w:r w:rsidR="003C3345" w:rsidRPr="003C3345">
        <w:rPr>
          <w:rFonts w:ascii="Times New Roman" w:hAnsi="Times New Roman"/>
          <w:sz w:val="24"/>
          <w:szCs w:val="24"/>
        </w:rPr>
        <w:t xml:space="preserve"> volte a utilizar o MS acometido após a lesão</w:t>
      </w:r>
      <w:r>
        <w:rPr>
          <w:rFonts w:ascii="Times New Roman" w:hAnsi="Times New Roman"/>
          <w:sz w:val="24"/>
          <w:szCs w:val="24"/>
        </w:rPr>
        <w:t>’’</w:t>
      </w:r>
      <w:r w:rsidR="003C3345" w:rsidRPr="003C3345">
        <w:rPr>
          <w:rFonts w:ascii="Times New Roman" w:hAnsi="Times New Roman"/>
          <w:sz w:val="24"/>
          <w:szCs w:val="24"/>
        </w:rPr>
        <w:t xml:space="preserve"> (GAMBA; CRUZ, 2011).</w:t>
      </w:r>
    </w:p>
    <w:p w:rsidR="003C3345" w:rsidRPr="003C3345" w:rsidRDefault="003C3345" w:rsidP="001157B1">
      <w:pPr>
        <w:spacing w:before="80" w:line="360" w:lineRule="auto"/>
        <w:ind w:firstLine="567"/>
        <w:jc w:val="both"/>
        <w:rPr>
          <w:rFonts w:ascii="Times New Roman" w:hAnsi="Times New Roman"/>
          <w:sz w:val="24"/>
          <w:szCs w:val="24"/>
        </w:rPr>
      </w:pPr>
      <w:r w:rsidRPr="003C3345">
        <w:rPr>
          <w:rFonts w:ascii="Times New Roman" w:hAnsi="Times New Roman"/>
          <w:sz w:val="24"/>
          <w:szCs w:val="24"/>
        </w:rPr>
        <w:t xml:space="preserve">A TCI, através do uso forçado e do treino de atividades funcionais, com movimentos repetitivos do membro </w:t>
      </w:r>
      <w:proofErr w:type="spellStart"/>
      <w:r w:rsidRPr="003C3345">
        <w:rPr>
          <w:rFonts w:ascii="Times New Roman" w:hAnsi="Times New Roman"/>
          <w:sz w:val="24"/>
          <w:szCs w:val="24"/>
        </w:rPr>
        <w:t>parético</w:t>
      </w:r>
      <w:proofErr w:type="spellEnd"/>
      <w:r w:rsidRPr="003C3345">
        <w:rPr>
          <w:rFonts w:ascii="Times New Roman" w:hAnsi="Times New Roman"/>
          <w:sz w:val="24"/>
          <w:szCs w:val="24"/>
        </w:rPr>
        <w:t>, aumenta a representação da área cortical acometida, proporcionando melhor desempenho motor, otimizando o aprendizado e revertendo o desuso aprendido (MENEGHETTI; SILVA, 2010; BARATO; FERNANDES; et al, 2009)</w:t>
      </w:r>
    </w:p>
    <w:p w:rsidR="003C3345" w:rsidRPr="003C3345" w:rsidRDefault="00086657" w:rsidP="001157B1">
      <w:pPr>
        <w:spacing w:before="80" w:line="360" w:lineRule="auto"/>
        <w:ind w:firstLine="567"/>
        <w:jc w:val="both"/>
        <w:rPr>
          <w:rFonts w:ascii="Times New Roman" w:hAnsi="Times New Roman"/>
          <w:sz w:val="24"/>
          <w:szCs w:val="24"/>
        </w:rPr>
      </w:pPr>
      <w:r>
        <w:rPr>
          <w:rFonts w:ascii="Times New Roman" w:hAnsi="Times New Roman"/>
          <w:sz w:val="24"/>
          <w:szCs w:val="24"/>
        </w:rPr>
        <w:t>“</w:t>
      </w:r>
      <w:r w:rsidR="003C3345" w:rsidRPr="003C3345">
        <w:rPr>
          <w:rFonts w:ascii="Times New Roman" w:hAnsi="Times New Roman"/>
          <w:sz w:val="24"/>
          <w:szCs w:val="24"/>
        </w:rPr>
        <w:t xml:space="preserve"> Durante as sessões, o paciente tem o MS não afetado imobilizado por uma luva ou </w:t>
      </w:r>
      <w:proofErr w:type="spellStart"/>
      <w:r w:rsidR="003C3345" w:rsidRPr="003C3345">
        <w:rPr>
          <w:rFonts w:ascii="Times New Roman" w:hAnsi="Times New Roman"/>
          <w:sz w:val="24"/>
          <w:szCs w:val="24"/>
        </w:rPr>
        <w:t>tipóia</w:t>
      </w:r>
      <w:proofErr w:type="spellEnd"/>
      <w:r w:rsidR="003C3345" w:rsidRPr="003C3345">
        <w:rPr>
          <w:rFonts w:ascii="Times New Roman" w:hAnsi="Times New Roman"/>
          <w:sz w:val="24"/>
          <w:szCs w:val="24"/>
        </w:rPr>
        <w:t xml:space="preserve"> e realiza a prática de movimentos funcionais</w:t>
      </w:r>
      <w:r>
        <w:rPr>
          <w:rFonts w:ascii="Times New Roman" w:hAnsi="Times New Roman"/>
          <w:sz w:val="24"/>
          <w:szCs w:val="24"/>
        </w:rPr>
        <w:t>’’</w:t>
      </w:r>
      <w:r w:rsidR="003C3345" w:rsidRPr="003C3345">
        <w:rPr>
          <w:rFonts w:ascii="Times New Roman" w:hAnsi="Times New Roman"/>
          <w:sz w:val="24"/>
          <w:szCs w:val="24"/>
        </w:rPr>
        <w:t xml:space="preserve"> (MATTA; GALVÃO; et al, 2006).</w:t>
      </w:r>
    </w:p>
    <w:p w:rsidR="003C3345" w:rsidRPr="003C3345" w:rsidRDefault="003C3345" w:rsidP="001157B1">
      <w:pPr>
        <w:spacing w:before="80" w:line="360" w:lineRule="auto"/>
        <w:ind w:firstLine="567"/>
        <w:jc w:val="both"/>
        <w:rPr>
          <w:rFonts w:ascii="Times New Roman" w:hAnsi="Times New Roman"/>
          <w:sz w:val="24"/>
          <w:szCs w:val="24"/>
        </w:rPr>
      </w:pPr>
      <w:r w:rsidRPr="003C3345">
        <w:rPr>
          <w:rFonts w:ascii="Times New Roman" w:hAnsi="Times New Roman"/>
          <w:sz w:val="24"/>
          <w:szCs w:val="24"/>
        </w:rPr>
        <w:t xml:space="preserve"> Atualmente, a TCI é caracterizada por três elementos: (1) treino repetitivo de tarefa orientada para o MSA, com duração de 2,5/horas por dia, por 10 dias consecutivos; (2) 30 minutos para o pacote de métodos comportamentais (métodos que visam ampliar a adesão do paciente ao protocolo e a transferência dos ganhos em terapia para fora do ambiente terapêutico); (3) restrição do MS menos afetado durante 90% das horas acordadas (TAUB et al., 1993; TAUB; USWATTE; 16 ELBERT, 2002; MORRIS; TAUB; MARK, 2006; TAUB, 2012).</w:t>
      </w:r>
    </w:p>
    <w:p w:rsidR="002A7543" w:rsidRPr="009544B0" w:rsidRDefault="003C3345" w:rsidP="001157B1">
      <w:pPr>
        <w:spacing w:before="80" w:line="360" w:lineRule="auto"/>
        <w:ind w:firstLine="567"/>
        <w:jc w:val="both"/>
        <w:rPr>
          <w:rFonts w:ascii="Times New Roman" w:hAnsi="Times New Roman"/>
          <w:sz w:val="24"/>
          <w:szCs w:val="24"/>
        </w:rPr>
      </w:pPr>
      <w:r w:rsidRPr="003C3345">
        <w:rPr>
          <w:rFonts w:ascii="Times New Roman" w:hAnsi="Times New Roman"/>
          <w:sz w:val="24"/>
          <w:szCs w:val="24"/>
        </w:rPr>
        <w:t xml:space="preserve">O principal objetivo da TCI é transferir os ganhos em terapia para o dia-a-dia do paciente e esta é a função do pacote de métodos comportamentais. As principais ferramentas utilizadas neste pacote são: o monitoramento, a solução de problemas e o contrato comportamental. A utilização deste pacote permite ao participante uma participação ativa no tratamento, especialmente quando não está no ambiente terapêutico com a supervisão de um terapeuta, além de estimular a utilização do MSA na realização das </w:t>
      </w:r>
      <w:proofErr w:type="spellStart"/>
      <w:r w:rsidRPr="003C3345">
        <w:rPr>
          <w:rFonts w:ascii="Times New Roman" w:hAnsi="Times New Roman"/>
          <w:sz w:val="24"/>
          <w:szCs w:val="24"/>
        </w:rPr>
        <w:t>AVD´s</w:t>
      </w:r>
      <w:proofErr w:type="spellEnd"/>
      <w:r w:rsidRPr="003C3345">
        <w:rPr>
          <w:rFonts w:ascii="Times New Roman" w:hAnsi="Times New Roman"/>
          <w:sz w:val="24"/>
          <w:szCs w:val="24"/>
        </w:rPr>
        <w:t xml:space="preserve"> .(MORRIS</w:t>
      </w:r>
      <w:r w:rsidR="00086657">
        <w:rPr>
          <w:rFonts w:ascii="Times New Roman" w:hAnsi="Times New Roman"/>
          <w:sz w:val="24"/>
          <w:szCs w:val="24"/>
        </w:rPr>
        <w:t>; TAUB; MARK, 2006; TAUB, 2012)</w:t>
      </w:r>
    </w:p>
    <w:p w:rsidR="002476A2" w:rsidRPr="009544B0" w:rsidRDefault="002476A2" w:rsidP="001157B1">
      <w:pPr>
        <w:spacing w:before="80" w:after="0" w:line="360" w:lineRule="auto"/>
        <w:contextualSpacing/>
        <w:jc w:val="both"/>
        <w:rPr>
          <w:rFonts w:ascii="Times New Roman" w:hAnsi="Times New Roman"/>
          <w:b/>
          <w:sz w:val="24"/>
          <w:szCs w:val="24"/>
        </w:rPr>
      </w:pPr>
      <w:r w:rsidRPr="009544B0">
        <w:rPr>
          <w:rFonts w:ascii="Times New Roman" w:hAnsi="Times New Roman"/>
          <w:b/>
          <w:sz w:val="24"/>
          <w:szCs w:val="24"/>
        </w:rPr>
        <w:t>3. METODOLOGIA</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O presente estudo </w:t>
      </w:r>
      <w:r w:rsidRPr="004A2CC9">
        <w:rPr>
          <w:rFonts w:ascii="Times New Roman" w:eastAsiaTheme="majorEastAsia" w:hAnsi="Times New Roman"/>
          <w:bCs/>
          <w:sz w:val="24"/>
          <w:szCs w:val="24"/>
        </w:rPr>
        <w:t>trata-se de um artigo de revisão sistemática,</w:t>
      </w:r>
      <w:r w:rsidRPr="004A2CC9">
        <w:rPr>
          <w:rFonts w:ascii="Times New Roman" w:hAnsi="Times New Roman"/>
          <w:sz w:val="24"/>
          <w:szCs w:val="24"/>
        </w:rPr>
        <w:t xml:space="preserve"> foi realizado de acordo com as diretrizes do manual de normas de trabalhos acadêmicos do Centro Universitário da Fundação Assis Gurgacz e aprovado pelo comitê de ética da Faculdade.</w:t>
      </w:r>
    </w:p>
    <w:p w:rsidR="004A2CC9" w:rsidRPr="004A2CC9" w:rsidRDefault="004A2CC9" w:rsidP="001157B1">
      <w:pPr>
        <w:spacing w:before="80" w:line="360" w:lineRule="auto"/>
        <w:jc w:val="both"/>
        <w:rPr>
          <w:rFonts w:ascii="Times New Roman" w:hAnsi="Times New Roman"/>
          <w:sz w:val="24"/>
          <w:szCs w:val="24"/>
        </w:rPr>
      </w:pPr>
      <w:r w:rsidRPr="004A2CC9">
        <w:rPr>
          <w:rFonts w:ascii="Times New Roman" w:eastAsiaTheme="majorEastAsia" w:hAnsi="Times New Roman"/>
          <w:bCs/>
          <w:sz w:val="24"/>
          <w:szCs w:val="24"/>
        </w:rPr>
        <w:t xml:space="preserve">A busca dos artigos aconteceu entre os meses de março a junho de 2021, envolvendo o desfecho clínico pretendido. Foi realizada nas bases de dados Literatura Latino-Americana e do Caribe em Ciências da Saúde (LILACS), </w:t>
      </w:r>
      <w:proofErr w:type="spellStart"/>
      <w:r w:rsidRPr="004A2CC9">
        <w:rPr>
          <w:rFonts w:ascii="Times New Roman" w:eastAsiaTheme="majorEastAsia" w:hAnsi="Times New Roman"/>
          <w:bCs/>
          <w:i/>
          <w:sz w:val="24"/>
          <w:szCs w:val="24"/>
        </w:rPr>
        <w:t>Scientific</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Electronic</w:t>
      </w:r>
      <w:proofErr w:type="spellEnd"/>
      <w:r w:rsidRPr="004A2CC9">
        <w:rPr>
          <w:rFonts w:ascii="Times New Roman" w:eastAsiaTheme="majorEastAsia" w:hAnsi="Times New Roman"/>
          <w:bCs/>
          <w:i/>
          <w:sz w:val="24"/>
          <w:szCs w:val="24"/>
        </w:rPr>
        <w:t xml:space="preserve"> Library Online</w:t>
      </w:r>
      <w:r w:rsidRPr="004A2CC9">
        <w:rPr>
          <w:rFonts w:ascii="Times New Roman" w:eastAsiaTheme="majorEastAsia" w:hAnsi="Times New Roman"/>
          <w:bCs/>
          <w:sz w:val="24"/>
          <w:szCs w:val="24"/>
        </w:rPr>
        <w:t xml:space="preserve"> (</w:t>
      </w:r>
      <w:proofErr w:type="spellStart"/>
      <w:r w:rsidRPr="004A2CC9">
        <w:rPr>
          <w:rFonts w:ascii="Times New Roman" w:eastAsiaTheme="majorEastAsia" w:hAnsi="Times New Roman"/>
          <w:bCs/>
          <w:sz w:val="24"/>
          <w:szCs w:val="24"/>
        </w:rPr>
        <w:t>SciELO</w:t>
      </w:r>
      <w:proofErr w:type="spellEnd"/>
      <w:r w:rsidRPr="004A2CC9">
        <w:rPr>
          <w:rFonts w:ascii="Times New Roman" w:eastAsiaTheme="majorEastAsia" w:hAnsi="Times New Roman"/>
          <w:bCs/>
          <w:sz w:val="24"/>
          <w:szCs w:val="24"/>
        </w:rPr>
        <w:t xml:space="preserve">), </w:t>
      </w:r>
      <w:r w:rsidRPr="004A2CC9">
        <w:rPr>
          <w:rFonts w:ascii="Times New Roman" w:eastAsiaTheme="majorEastAsia" w:hAnsi="Times New Roman"/>
          <w:bCs/>
          <w:i/>
          <w:sz w:val="24"/>
          <w:szCs w:val="24"/>
        </w:rPr>
        <w:t xml:space="preserve">Medical </w:t>
      </w:r>
      <w:proofErr w:type="spellStart"/>
      <w:r w:rsidRPr="004A2CC9">
        <w:rPr>
          <w:rFonts w:ascii="Times New Roman" w:eastAsiaTheme="majorEastAsia" w:hAnsi="Times New Roman"/>
          <w:bCs/>
          <w:i/>
          <w:sz w:val="24"/>
          <w:szCs w:val="24"/>
        </w:rPr>
        <w:t>Literature</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Analysis</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and</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Retrieval</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Sistem</w:t>
      </w:r>
      <w:proofErr w:type="spellEnd"/>
      <w:r w:rsidRPr="004A2CC9">
        <w:rPr>
          <w:rFonts w:ascii="Times New Roman" w:eastAsiaTheme="majorEastAsia" w:hAnsi="Times New Roman"/>
          <w:bCs/>
          <w:i/>
          <w:sz w:val="24"/>
          <w:szCs w:val="24"/>
        </w:rPr>
        <w:t xml:space="preserve"> Online</w:t>
      </w:r>
      <w:r w:rsidRPr="004A2CC9">
        <w:rPr>
          <w:rFonts w:ascii="Times New Roman" w:eastAsiaTheme="majorEastAsia" w:hAnsi="Times New Roman"/>
          <w:bCs/>
          <w:sz w:val="24"/>
          <w:szCs w:val="24"/>
        </w:rPr>
        <w:t xml:space="preserve"> (</w:t>
      </w:r>
      <w:proofErr w:type="spellStart"/>
      <w:r w:rsidRPr="004A2CC9">
        <w:rPr>
          <w:rFonts w:ascii="Times New Roman" w:eastAsiaTheme="majorEastAsia" w:hAnsi="Times New Roman"/>
          <w:bCs/>
          <w:sz w:val="24"/>
          <w:szCs w:val="24"/>
        </w:rPr>
        <w:t>MedLine</w:t>
      </w:r>
      <w:proofErr w:type="spellEnd"/>
      <w:r w:rsidRPr="004A2CC9">
        <w:rPr>
          <w:rFonts w:ascii="Times New Roman" w:eastAsiaTheme="majorEastAsia" w:hAnsi="Times New Roman"/>
          <w:bCs/>
          <w:sz w:val="24"/>
          <w:szCs w:val="24"/>
        </w:rPr>
        <w:t>/</w:t>
      </w:r>
      <w:proofErr w:type="spellStart"/>
      <w:r w:rsidRPr="004A2CC9">
        <w:rPr>
          <w:rFonts w:ascii="Times New Roman" w:eastAsiaTheme="majorEastAsia" w:hAnsi="Times New Roman"/>
          <w:bCs/>
          <w:sz w:val="24"/>
          <w:szCs w:val="24"/>
        </w:rPr>
        <w:t>PubMed</w:t>
      </w:r>
      <w:proofErr w:type="spellEnd"/>
      <w:r w:rsidRPr="004A2CC9">
        <w:rPr>
          <w:rFonts w:ascii="Times New Roman" w:eastAsiaTheme="majorEastAsia" w:hAnsi="Times New Roman"/>
          <w:bCs/>
          <w:sz w:val="24"/>
          <w:szCs w:val="24"/>
        </w:rPr>
        <w:t xml:space="preserve">), </w:t>
      </w:r>
      <w:proofErr w:type="spellStart"/>
      <w:r w:rsidRPr="004A2CC9">
        <w:rPr>
          <w:rFonts w:ascii="Times New Roman" w:eastAsiaTheme="majorEastAsia" w:hAnsi="Times New Roman"/>
          <w:bCs/>
          <w:i/>
          <w:sz w:val="24"/>
          <w:szCs w:val="24"/>
        </w:rPr>
        <w:t>Biomedical</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Answers</w:t>
      </w:r>
      <w:proofErr w:type="spellEnd"/>
      <w:r w:rsidRPr="004A2CC9">
        <w:rPr>
          <w:rFonts w:ascii="Times New Roman" w:eastAsiaTheme="majorEastAsia" w:hAnsi="Times New Roman"/>
          <w:bCs/>
          <w:sz w:val="24"/>
          <w:szCs w:val="24"/>
        </w:rPr>
        <w:t xml:space="preserve"> (EMBASE), Biblioteca Virtual da Saúde (BVS) e </w:t>
      </w:r>
      <w:proofErr w:type="spellStart"/>
      <w:r w:rsidRPr="004A2CC9">
        <w:rPr>
          <w:rFonts w:ascii="Times New Roman" w:eastAsiaTheme="majorEastAsia" w:hAnsi="Times New Roman"/>
          <w:bCs/>
          <w:i/>
          <w:sz w:val="24"/>
          <w:szCs w:val="24"/>
        </w:rPr>
        <w:t>Physiotherapy</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Evidence</w:t>
      </w:r>
      <w:proofErr w:type="spellEnd"/>
      <w:r w:rsidRPr="004A2CC9">
        <w:rPr>
          <w:rFonts w:ascii="Times New Roman" w:eastAsiaTheme="majorEastAsia" w:hAnsi="Times New Roman"/>
          <w:bCs/>
          <w:i/>
          <w:sz w:val="24"/>
          <w:szCs w:val="24"/>
        </w:rPr>
        <w:t xml:space="preserve"> </w:t>
      </w:r>
      <w:proofErr w:type="spellStart"/>
      <w:r w:rsidRPr="004A2CC9">
        <w:rPr>
          <w:rFonts w:ascii="Times New Roman" w:eastAsiaTheme="majorEastAsia" w:hAnsi="Times New Roman"/>
          <w:bCs/>
          <w:i/>
          <w:sz w:val="24"/>
          <w:szCs w:val="24"/>
        </w:rPr>
        <w:t>Database</w:t>
      </w:r>
      <w:proofErr w:type="spellEnd"/>
      <w:r w:rsidRPr="004A2CC9">
        <w:rPr>
          <w:rFonts w:ascii="Times New Roman" w:eastAsiaTheme="majorEastAsia" w:hAnsi="Times New Roman"/>
          <w:bCs/>
          <w:sz w:val="24"/>
          <w:szCs w:val="24"/>
        </w:rPr>
        <w:t xml:space="preserve">. Os artigos foram obtidos por meio das seguintes palavras-chave: “Terapia Restrição do Movimento”, “AVC”, “Hemiparesia”, “Membro superior”, “reabilitação”, </w:t>
      </w:r>
      <w:proofErr w:type="spellStart"/>
      <w:r w:rsidRPr="004A2CC9">
        <w:rPr>
          <w:rFonts w:ascii="Times New Roman" w:eastAsiaTheme="majorEastAsia" w:hAnsi="Times New Roman"/>
          <w:bCs/>
          <w:sz w:val="24"/>
          <w:szCs w:val="24"/>
        </w:rPr>
        <w:t>Therapy</w:t>
      </w:r>
      <w:proofErr w:type="spellEnd"/>
      <w:r w:rsidRPr="004A2CC9">
        <w:rPr>
          <w:rFonts w:ascii="Times New Roman" w:eastAsiaTheme="majorEastAsia" w:hAnsi="Times New Roman"/>
          <w:bCs/>
          <w:sz w:val="24"/>
          <w:szCs w:val="24"/>
        </w:rPr>
        <w:t xml:space="preserve"> </w:t>
      </w:r>
      <w:proofErr w:type="spellStart"/>
      <w:r w:rsidRPr="004A2CC9">
        <w:rPr>
          <w:rFonts w:ascii="Times New Roman" w:eastAsiaTheme="majorEastAsia" w:hAnsi="Times New Roman"/>
          <w:bCs/>
          <w:sz w:val="24"/>
          <w:szCs w:val="24"/>
        </w:rPr>
        <w:t>Restricted</w:t>
      </w:r>
      <w:proofErr w:type="spellEnd"/>
      <w:r w:rsidRPr="004A2CC9">
        <w:rPr>
          <w:rFonts w:ascii="Times New Roman" w:eastAsiaTheme="majorEastAsia" w:hAnsi="Times New Roman"/>
          <w:bCs/>
          <w:sz w:val="24"/>
          <w:szCs w:val="24"/>
        </w:rPr>
        <w:t xml:space="preserve"> Motion” “</w:t>
      </w:r>
      <w:proofErr w:type="spellStart"/>
      <w:r w:rsidRPr="004A2CC9">
        <w:rPr>
          <w:rFonts w:ascii="Times New Roman" w:eastAsiaTheme="majorEastAsia" w:hAnsi="Times New Roman"/>
          <w:bCs/>
          <w:sz w:val="24"/>
          <w:szCs w:val="24"/>
        </w:rPr>
        <w:t>stroke</w:t>
      </w:r>
      <w:proofErr w:type="spellEnd"/>
      <w:r w:rsidRPr="004A2CC9">
        <w:rPr>
          <w:rFonts w:ascii="Times New Roman" w:eastAsiaTheme="majorEastAsia" w:hAnsi="Times New Roman"/>
          <w:bCs/>
          <w:sz w:val="24"/>
          <w:szCs w:val="24"/>
        </w:rPr>
        <w:t>’’, “hemiparesia’’, “</w:t>
      </w:r>
      <w:proofErr w:type="spellStart"/>
      <w:r w:rsidRPr="004A2CC9">
        <w:rPr>
          <w:rFonts w:ascii="Times New Roman" w:eastAsiaTheme="majorEastAsia" w:hAnsi="Times New Roman"/>
          <w:bCs/>
          <w:sz w:val="24"/>
          <w:szCs w:val="24"/>
        </w:rPr>
        <w:t>Upper</w:t>
      </w:r>
      <w:proofErr w:type="spellEnd"/>
      <w:r w:rsidRPr="004A2CC9">
        <w:rPr>
          <w:rFonts w:ascii="Times New Roman" w:eastAsiaTheme="majorEastAsia" w:hAnsi="Times New Roman"/>
          <w:bCs/>
          <w:sz w:val="24"/>
          <w:szCs w:val="24"/>
        </w:rPr>
        <w:t xml:space="preserve"> </w:t>
      </w:r>
      <w:proofErr w:type="spellStart"/>
      <w:r w:rsidRPr="004A2CC9">
        <w:rPr>
          <w:rFonts w:ascii="Times New Roman" w:eastAsiaTheme="majorEastAsia" w:hAnsi="Times New Roman"/>
          <w:bCs/>
          <w:sz w:val="24"/>
          <w:szCs w:val="24"/>
        </w:rPr>
        <w:t>extremity</w:t>
      </w:r>
      <w:proofErr w:type="spellEnd"/>
      <w:r w:rsidRPr="004A2CC9">
        <w:rPr>
          <w:rFonts w:ascii="Times New Roman" w:eastAsiaTheme="majorEastAsia" w:hAnsi="Times New Roman"/>
          <w:bCs/>
          <w:sz w:val="24"/>
          <w:szCs w:val="24"/>
        </w:rPr>
        <w:t>’’, “</w:t>
      </w:r>
      <w:proofErr w:type="spellStart"/>
      <w:r w:rsidRPr="004A2CC9">
        <w:rPr>
          <w:rFonts w:ascii="Times New Roman" w:eastAsiaTheme="majorEastAsia" w:hAnsi="Times New Roman"/>
          <w:bCs/>
          <w:sz w:val="24"/>
          <w:szCs w:val="24"/>
        </w:rPr>
        <w:t>rehabilitation</w:t>
      </w:r>
      <w:proofErr w:type="spellEnd"/>
      <w:r w:rsidRPr="004A2CC9">
        <w:rPr>
          <w:rFonts w:ascii="Times New Roman" w:eastAsiaTheme="majorEastAsia" w:hAnsi="Times New Roman"/>
          <w:bCs/>
          <w:sz w:val="24"/>
          <w:szCs w:val="24"/>
        </w:rPr>
        <w:t>”.</w:t>
      </w:r>
      <w:r w:rsidRPr="004A2CC9">
        <w:rPr>
          <w:rFonts w:ascii="Times New Roman" w:hAnsi="Times New Roman"/>
          <w:sz w:val="24"/>
          <w:szCs w:val="24"/>
        </w:rPr>
        <w:t xml:space="preserve"> A busca de referências se limitou a artigos publicados entre 2010 a 2020 e escritos em português, inglês ou espanhol.</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Com base nos desfechos pretendidos, foram analisadas as intervenções de TCI em pacientes com hemiparesia em MS após AVC, desenvolvida com o finalidade de recuperar a função do membro acometido por uma lesão. Foram incluídos, ao final da análise, apenas </w:t>
      </w:r>
      <w:r w:rsidRPr="004A2CC9">
        <w:rPr>
          <w:rFonts w:ascii="Times New Roman" w:eastAsiaTheme="majorEastAsia" w:hAnsi="Times New Roman"/>
          <w:bCs/>
          <w:sz w:val="24"/>
          <w:szCs w:val="24"/>
        </w:rPr>
        <w:t>ensaios clínicos randomizados; estudos com indivíduos diagnosticados com AVC independente de sua fase, com idade entre 18 a 65 anos, que apresentaram sequelas em MS (hemiparesia).</w:t>
      </w:r>
      <w:r w:rsidRPr="004A2CC9">
        <w:rPr>
          <w:rFonts w:ascii="Times New Roman" w:hAnsi="Times New Roman"/>
          <w:sz w:val="24"/>
          <w:szCs w:val="24"/>
        </w:rPr>
        <w:t xml:space="preserve"> </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Para a seleção dos artigos, inicialmente foi realizada a avaliação dos títulos relacionados ao tema em questão. Essa seleção foi baseada nos títulos que tiveram como ideia principal a aplicação da TCI, em pacientes com AVC e com sequelas em MS. Ao final da busca, foram excluídos os títulos similares (considerando que a busca foi feita em diversas bases de dados), em seguida, foi realizada a leitura detalhada dos resumos dos artigos, a fim de selecionar aqueles que abordassem a aplicação de Terapia de Contensão Induzida. Foram excluídos os resumos que não abordavam o tema em questão, </w:t>
      </w:r>
      <w:r w:rsidRPr="004A2CC9">
        <w:rPr>
          <w:rFonts w:ascii="Times New Roman" w:eastAsiaTheme="majorEastAsia" w:hAnsi="Times New Roman"/>
          <w:bCs/>
          <w:sz w:val="24"/>
          <w:szCs w:val="24"/>
        </w:rPr>
        <w:t xml:space="preserve">pacientes com sequelas bilaterais, artigos que não eram do tipo ensaio clinico randomizado, </w:t>
      </w:r>
      <w:proofErr w:type="spellStart"/>
      <w:r w:rsidRPr="004A2CC9">
        <w:rPr>
          <w:rFonts w:ascii="Times New Roman" w:eastAsiaTheme="majorEastAsia" w:hAnsi="Times New Roman"/>
          <w:bCs/>
          <w:sz w:val="24"/>
          <w:szCs w:val="24"/>
        </w:rPr>
        <w:t>metanálise</w:t>
      </w:r>
      <w:proofErr w:type="spellEnd"/>
      <w:r w:rsidRPr="004A2CC9">
        <w:rPr>
          <w:rFonts w:ascii="Times New Roman" w:eastAsiaTheme="majorEastAsia" w:hAnsi="Times New Roman"/>
          <w:bCs/>
          <w:sz w:val="24"/>
          <w:szCs w:val="24"/>
        </w:rPr>
        <w:t xml:space="preserve"> e artigos não disponibilizados na integra</w:t>
      </w:r>
      <w:r w:rsidRPr="004A2CC9">
        <w:rPr>
          <w:rFonts w:ascii="Times New Roman" w:hAnsi="Times New Roman"/>
          <w:sz w:val="24"/>
          <w:szCs w:val="24"/>
        </w:rPr>
        <w:t xml:space="preserve">; os textos completos foram avaliados e os que se enquadraram nos critérios de inclusão foram adicionados como resultado da busca. </w:t>
      </w:r>
    </w:p>
    <w:p w:rsidR="004A2CC9" w:rsidRPr="004A2CC9" w:rsidRDefault="004A2CC9" w:rsidP="001157B1">
      <w:pPr>
        <w:spacing w:before="80" w:line="360" w:lineRule="auto"/>
        <w:ind w:firstLine="567"/>
        <w:jc w:val="both"/>
        <w:rPr>
          <w:rFonts w:ascii="Times New Roman" w:eastAsiaTheme="majorEastAsia" w:hAnsi="Times New Roman"/>
          <w:bCs/>
          <w:sz w:val="24"/>
          <w:szCs w:val="24"/>
        </w:rPr>
      </w:pPr>
      <w:r w:rsidRPr="004A2CC9">
        <w:rPr>
          <w:rFonts w:ascii="Times New Roman" w:hAnsi="Times New Roman"/>
          <w:sz w:val="24"/>
          <w:szCs w:val="24"/>
        </w:rPr>
        <w:t xml:space="preserve"> Os artigos identificados na estratégia de busca tiveram seu título e resumo avaliados por uma pesquisadora. Os estudos que contemplaram os critérios de inclusão foram avaliados pela escala </w:t>
      </w:r>
      <w:proofErr w:type="spellStart"/>
      <w:r w:rsidRPr="004A2CC9">
        <w:rPr>
          <w:rFonts w:ascii="Times New Roman" w:hAnsi="Times New Roman"/>
          <w:sz w:val="24"/>
          <w:szCs w:val="24"/>
        </w:rPr>
        <w:t>PEDro</w:t>
      </w:r>
      <w:proofErr w:type="spellEnd"/>
      <w:r w:rsidRPr="004A2CC9">
        <w:rPr>
          <w:rFonts w:ascii="Times New Roman" w:hAnsi="Times New Roman"/>
          <w:sz w:val="24"/>
          <w:szCs w:val="24"/>
        </w:rPr>
        <w:t xml:space="preserve">. </w:t>
      </w:r>
      <w:r w:rsidRPr="004A2CC9">
        <w:rPr>
          <w:rFonts w:ascii="Times New Roman" w:eastAsiaTheme="majorEastAsia" w:hAnsi="Times New Roman"/>
          <w:bCs/>
          <w:sz w:val="24"/>
          <w:szCs w:val="24"/>
        </w:rPr>
        <w:t xml:space="preserve">Esse instrumento foi desenvolvido pela Associação Australiana de Fisioterapia e é reconhecido mundialmente na área. Visa quantificar a qualidade dos ensaios clínicos aleatorizados publicados, guiando assim os usuários sobre aspectos meritórios de cada publicação e facilitar a identificação rápida de estudos que contenham informações suficientes para a prática profissional. Essa escala avalia os ensaios por meio de 11 itens pré-estabelecidos que são qualificados em “aplicável” ou “não aplicável”, gerando um escore total que varia entre 0 e 10 pontos. De forma a buscar um rigor na qualidade metodológica dos artigos selecionados, os mesmos foram analisados e classificados como de “alta qualidade” quando alcançaram escore ≥4 pontos na escala </w:t>
      </w:r>
      <w:proofErr w:type="spellStart"/>
      <w:r w:rsidRPr="004A2CC9">
        <w:rPr>
          <w:rFonts w:ascii="Times New Roman" w:eastAsiaTheme="majorEastAsia" w:hAnsi="Times New Roman"/>
          <w:bCs/>
          <w:sz w:val="24"/>
          <w:szCs w:val="24"/>
        </w:rPr>
        <w:t>PEDro</w:t>
      </w:r>
      <w:proofErr w:type="spellEnd"/>
      <w:r w:rsidRPr="004A2CC9">
        <w:rPr>
          <w:rFonts w:ascii="Times New Roman" w:eastAsiaTheme="majorEastAsia" w:hAnsi="Times New Roman"/>
          <w:bCs/>
          <w:sz w:val="24"/>
          <w:szCs w:val="24"/>
        </w:rPr>
        <w:t xml:space="preserve">, ou como de “baixa qualidade” quando obtiveram escore &lt;4 na referida escala. </w:t>
      </w:r>
    </w:p>
    <w:p w:rsidR="004A2CC9" w:rsidRPr="004A2CC9" w:rsidRDefault="004A2CC9" w:rsidP="001157B1">
      <w:pPr>
        <w:spacing w:before="80" w:line="360" w:lineRule="auto"/>
        <w:ind w:firstLine="567"/>
        <w:jc w:val="both"/>
        <w:rPr>
          <w:rFonts w:ascii="Times New Roman" w:eastAsiaTheme="majorEastAsia" w:hAnsi="Times New Roman"/>
          <w:bCs/>
          <w:sz w:val="24"/>
          <w:szCs w:val="24"/>
        </w:rPr>
      </w:pPr>
      <w:r w:rsidRPr="004A2CC9">
        <w:rPr>
          <w:rFonts w:ascii="Times New Roman" w:eastAsiaTheme="majorEastAsia" w:hAnsi="Times New Roman"/>
          <w:bCs/>
          <w:sz w:val="24"/>
          <w:szCs w:val="24"/>
        </w:rPr>
        <w:t xml:space="preserve">Cabe salientar que a pontuação da </w:t>
      </w:r>
      <w:proofErr w:type="spellStart"/>
      <w:r w:rsidRPr="004A2CC9">
        <w:rPr>
          <w:rFonts w:ascii="Times New Roman" w:eastAsiaTheme="majorEastAsia" w:hAnsi="Times New Roman"/>
          <w:bCs/>
          <w:sz w:val="24"/>
          <w:szCs w:val="24"/>
        </w:rPr>
        <w:t>PEDro</w:t>
      </w:r>
      <w:proofErr w:type="spellEnd"/>
      <w:r w:rsidRPr="004A2CC9">
        <w:rPr>
          <w:rFonts w:ascii="Times New Roman" w:eastAsiaTheme="majorEastAsia" w:hAnsi="Times New Roman"/>
          <w:bCs/>
          <w:sz w:val="24"/>
          <w:szCs w:val="24"/>
        </w:rPr>
        <w:t xml:space="preserve"> não foi utilizada como critério de inclusão ou de exclusão dos artigos, mas sim como um indicador de evidências científicas dos estudos.</w:t>
      </w:r>
    </w:p>
    <w:p w:rsidR="0003128C" w:rsidRDefault="005E703E" w:rsidP="001157B1">
      <w:pPr>
        <w:spacing w:before="80" w:after="0" w:line="360" w:lineRule="auto"/>
        <w:contextualSpacing/>
        <w:rPr>
          <w:rFonts w:ascii="Times New Roman" w:hAnsi="Times New Roman"/>
          <w:b/>
          <w:sz w:val="24"/>
          <w:szCs w:val="24"/>
        </w:rPr>
      </w:pPr>
      <w:bookmarkStart w:id="5" w:name="_Toc358054228"/>
      <w:bookmarkStart w:id="6" w:name="_Toc360478817"/>
      <w:r w:rsidRPr="009544B0">
        <w:rPr>
          <w:rFonts w:ascii="Times New Roman" w:hAnsi="Times New Roman"/>
          <w:b/>
          <w:sz w:val="24"/>
          <w:szCs w:val="24"/>
        </w:rPr>
        <w:t>4</w:t>
      </w:r>
      <w:r w:rsidR="005458B2" w:rsidRPr="009544B0">
        <w:rPr>
          <w:rFonts w:ascii="Times New Roman" w:hAnsi="Times New Roman"/>
          <w:b/>
          <w:sz w:val="24"/>
          <w:szCs w:val="24"/>
        </w:rPr>
        <w:t>.</w:t>
      </w:r>
      <w:r w:rsidR="0003128C" w:rsidRPr="009544B0">
        <w:rPr>
          <w:rFonts w:ascii="Times New Roman" w:hAnsi="Times New Roman"/>
          <w:b/>
          <w:sz w:val="24"/>
          <w:szCs w:val="24"/>
        </w:rPr>
        <w:t xml:space="preserve"> </w:t>
      </w:r>
      <w:r w:rsidR="002476A2" w:rsidRPr="009544B0">
        <w:rPr>
          <w:rFonts w:ascii="Times New Roman" w:hAnsi="Times New Roman"/>
          <w:b/>
          <w:sz w:val="24"/>
          <w:szCs w:val="24"/>
        </w:rPr>
        <w:t>ANÁLISES E DISCUSSÕES</w:t>
      </w:r>
      <w:bookmarkEnd w:id="5"/>
      <w:bookmarkEnd w:id="6"/>
    </w:p>
    <w:p w:rsidR="004A2CC9" w:rsidRPr="004A2CC9" w:rsidRDefault="004A2CC9" w:rsidP="001157B1">
      <w:pPr>
        <w:tabs>
          <w:tab w:val="left" w:pos="142"/>
        </w:tabs>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A busca inicial identificou 110 artigos, dos quais 16 estudos foram recuperados para análise detalhada, sendo 10 da base de dados </w:t>
      </w:r>
      <w:proofErr w:type="spellStart"/>
      <w:r w:rsidRPr="004A2CC9">
        <w:rPr>
          <w:rFonts w:ascii="Times New Roman" w:hAnsi="Times New Roman"/>
          <w:sz w:val="24"/>
          <w:szCs w:val="24"/>
        </w:rPr>
        <w:t>pubMed</w:t>
      </w:r>
      <w:proofErr w:type="spellEnd"/>
      <w:r w:rsidRPr="004A2CC9">
        <w:rPr>
          <w:rFonts w:ascii="Times New Roman" w:hAnsi="Times New Roman"/>
          <w:sz w:val="24"/>
          <w:szCs w:val="24"/>
        </w:rPr>
        <w:t xml:space="preserve">, 3 da </w:t>
      </w:r>
      <w:proofErr w:type="spellStart"/>
      <w:r w:rsidRPr="004A2CC9">
        <w:rPr>
          <w:rFonts w:ascii="Times New Roman" w:hAnsi="Times New Roman"/>
          <w:sz w:val="24"/>
          <w:szCs w:val="24"/>
        </w:rPr>
        <w:t>Scielo</w:t>
      </w:r>
      <w:proofErr w:type="spellEnd"/>
      <w:r w:rsidRPr="004A2CC9">
        <w:rPr>
          <w:rFonts w:ascii="Times New Roman" w:hAnsi="Times New Roman"/>
          <w:sz w:val="24"/>
          <w:szCs w:val="24"/>
        </w:rPr>
        <w:t xml:space="preserve">, 3 da </w:t>
      </w:r>
      <w:proofErr w:type="spellStart"/>
      <w:r w:rsidRPr="004A2CC9">
        <w:rPr>
          <w:rFonts w:ascii="Times New Roman" w:hAnsi="Times New Roman"/>
          <w:sz w:val="24"/>
          <w:szCs w:val="24"/>
        </w:rPr>
        <w:t>Lilacs</w:t>
      </w:r>
      <w:proofErr w:type="spellEnd"/>
      <w:r w:rsidRPr="004A2CC9">
        <w:rPr>
          <w:rFonts w:ascii="Times New Roman" w:hAnsi="Times New Roman"/>
          <w:sz w:val="24"/>
          <w:szCs w:val="24"/>
        </w:rPr>
        <w:t xml:space="preserve">. Desses, apenas 4 supriram os critérios de inclusão e exclusão. Destes artigos, 2 eram relacionados a Terapia de Contensão Induzida e sua eficácia na melhora da função motora e qualidade de vida do MS acometido com hemiparesia nas fases do AVC e 2 estudos realizaram a TCI associada a outra terapia (Estimulação por corrente Contínua </w:t>
      </w:r>
      <w:proofErr w:type="spellStart"/>
      <w:r w:rsidRPr="004A2CC9">
        <w:rPr>
          <w:rFonts w:ascii="Times New Roman" w:hAnsi="Times New Roman"/>
          <w:sz w:val="24"/>
          <w:szCs w:val="24"/>
        </w:rPr>
        <w:t>Transcraniana</w:t>
      </w:r>
      <w:proofErr w:type="spellEnd"/>
      <w:r w:rsidRPr="004A2CC9">
        <w:rPr>
          <w:rFonts w:ascii="Times New Roman" w:hAnsi="Times New Roman"/>
          <w:sz w:val="24"/>
          <w:szCs w:val="24"/>
        </w:rPr>
        <w:t xml:space="preserve"> e Estimulação Neuromuscular Periférica). </w:t>
      </w:r>
    </w:p>
    <w:p w:rsidR="004A2CC9" w:rsidRPr="004A2CC9" w:rsidRDefault="004A2CC9" w:rsidP="001157B1">
      <w:pPr>
        <w:tabs>
          <w:tab w:val="left" w:pos="142"/>
        </w:tabs>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A Figura 1 demonstra o fluxograma dos estudos incluídos e as Tabelas 1 e 2 resumem as características desses estudos e listam as informações referentes aos escores obtidos pelos ensaios clínicos aleatorizados na escala </w:t>
      </w:r>
      <w:proofErr w:type="spellStart"/>
      <w:r w:rsidRPr="004A2CC9">
        <w:rPr>
          <w:rFonts w:ascii="Times New Roman" w:hAnsi="Times New Roman"/>
          <w:sz w:val="24"/>
          <w:szCs w:val="24"/>
        </w:rPr>
        <w:t>PEDro</w:t>
      </w:r>
      <w:proofErr w:type="spellEnd"/>
      <w:r w:rsidRPr="004A2CC9">
        <w:rPr>
          <w:rFonts w:ascii="Times New Roman" w:hAnsi="Times New Roman"/>
          <w:sz w:val="24"/>
          <w:szCs w:val="24"/>
        </w:rPr>
        <w:t xml:space="preserve">. Pode-se observar que todos os estudos incluídos apresentaram critérios de elegibilidade, pois realizaram comparações intergrupos. Todos os estudos, fizeram acompanhamento adequado, análise da intenção de tratamento e utilizaram medidas de precisão e variabilidade. Dos 4 artigos, três realizaram "cegamento" dos sujeitos, dos terapeutas e dos avaliadores. Quanto à classificação na escala </w:t>
      </w:r>
      <w:proofErr w:type="spellStart"/>
      <w:r w:rsidRPr="004A2CC9">
        <w:rPr>
          <w:rFonts w:ascii="Times New Roman" w:hAnsi="Times New Roman"/>
          <w:sz w:val="24"/>
          <w:szCs w:val="24"/>
        </w:rPr>
        <w:t>PEDro</w:t>
      </w:r>
      <w:proofErr w:type="spellEnd"/>
      <w:r w:rsidRPr="004A2CC9">
        <w:rPr>
          <w:rFonts w:ascii="Times New Roman" w:hAnsi="Times New Roman"/>
          <w:sz w:val="24"/>
          <w:szCs w:val="24"/>
        </w:rPr>
        <w:t xml:space="preserve">, 95% dos estudos obtiveram pontuação ≥4 pontos, sendo classificados como de "alta qualidade", segundo os critérios de Van </w:t>
      </w:r>
      <w:proofErr w:type="spellStart"/>
      <w:r w:rsidRPr="004A2CC9">
        <w:rPr>
          <w:rFonts w:ascii="Times New Roman" w:hAnsi="Times New Roman"/>
          <w:sz w:val="24"/>
          <w:szCs w:val="24"/>
        </w:rPr>
        <w:t>Peppen</w:t>
      </w:r>
      <w:proofErr w:type="spellEnd"/>
      <w:r w:rsidRPr="004A2CC9">
        <w:rPr>
          <w:rFonts w:ascii="Times New Roman" w:hAnsi="Times New Roman"/>
          <w:sz w:val="24"/>
          <w:szCs w:val="24"/>
        </w:rPr>
        <w:t xml:space="preserve"> et al.</w:t>
      </w:r>
    </w:p>
    <w:p w:rsidR="004A2CC9" w:rsidRPr="004A2CC9" w:rsidRDefault="004A2CC9" w:rsidP="001157B1">
      <w:pPr>
        <w:tabs>
          <w:tab w:val="left" w:pos="142"/>
        </w:tabs>
        <w:spacing w:before="80" w:line="360" w:lineRule="auto"/>
        <w:ind w:firstLine="567"/>
        <w:jc w:val="both"/>
        <w:rPr>
          <w:rFonts w:ascii="Times New Roman" w:hAnsi="Times New Roman"/>
          <w:sz w:val="24"/>
          <w:szCs w:val="24"/>
        </w:rPr>
      </w:pPr>
      <w:r w:rsidRPr="004A2CC9">
        <w:rPr>
          <w:rFonts w:ascii="Times New Roman" w:hAnsi="Times New Roman"/>
          <w:sz w:val="24"/>
          <w:szCs w:val="24"/>
        </w:rPr>
        <w:t>Entre os estudos inseridos, todos abordaram pacientes com diagnóstico de AVC, sendo o MS acometido e a hemiparesia a sequela de maior prevalência entre os estudos. Todos os estudos incluídos abordaram a utilização da Terapia de Contensão Induzida. O tamanho amostral variou entre 20 a 60 sujeitos, de ambos os gêneros, com idades variando entre 18 e 65 anos.</w:t>
      </w:r>
    </w:p>
    <w:p w:rsidR="004A2CC9" w:rsidRPr="00161967" w:rsidRDefault="004A2CC9" w:rsidP="001157B1">
      <w:pPr>
        <w:tabs>
          <w:tab w:val="left" w:pos="142"/>
        </w:tabs>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Os quatro estudos, demonstraram aumentos significativos da função motora do MS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de pacientes com AVC agudo a crônico grave, após o protocolo de Terapia de Contensão Induzida de 2 a 3 semanas, entre 2 a 4 horas diárias, com cerca de 90% da hora vigília do dia com o MS não acometido restrito.</w:t>
      </w:r>
    </w:p>
    <w:p w:rsidR="00086657" w:rsidRDefault="00086657" w:rsidP="001157B1">
      <w:pPr>
        <w:spacing w:before="80"/>
        <w:rPr>
          <w:rFonts w:ascii="Arial" w:eastAsiaTheme="majorEastAsia" w:hAnsi="Arial" w:cs="Arial"/>
        </w:rPr>
      </w:pPr>
      <w:r>
        <w:rPr>
          <w:noProof/>
          <w:lang w:eastAsia="pt-BR"/>
        </w:rPr>
        <mc:AlternateContent>
          <mc:Choice Requires="wps">
            <w:drawing>
              <wp:anchor distT="0" distB="0" distL="114300" distR="114300" simplePos="0" relativeHeight="251661312" behindDoc="0" locked="0" layoutInCell="1" allowOverlap="1" wp14:anchorId="45047707" wp14:editId="57571B89">
                <wp:simplePos x="0" y="0"/>
                <wp:positionH relativeFrom="column">
                  <wp:posOffset>396240</wp:posOffset>
                </wp:positionH>
                <wp:positionV relativeFrom="paragraph">
                  <wp:posOffset>81915</wp:posOffset>
                </wp:positionV>
                <wp:extent cx="1800225" cy="323850"/>
                <wp:effectExtent l="0" t="0" r="28575" b="19050"/>
                <wp:wrapNone/>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6657" w:rsidRPr="00E70249" w:rsidRDefault="00086657" w:rsidP="00086657">
                            <w:pPr>
                              <w:rPr>
                                <w:rFonts w:ascii="Arial" w:hAnsi="Arial" w:cs="Arial"/>
                                <w:sz w:val="20"/>
                                <w:szCs w:val="20"/>
                              </w:rPr>
                            </w:pPr>
                            <w:r w:rsidRPr="00E70249">
                              <w:rPr>
                                <w:rFonts w:ascii="Arial" w:hAnsi="Arial" w:cs="Arial"/>
                                <w:sz w:val="20"/>
                                <w:szCs w:val="20"/>
                              </w:rPr>
                              <w:t>110 artigos identificados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47707" id="_x0000_t202" coordsize="21600,21600" o:spt="202" path="m,l,21600r21600,l21600,xe">
                <v:stroke joinstyle="miter"/>
                <v:path gradientshapeok="t" o:connecttype="rect"/>
              </v:shapetype>
              <v:shape id="Caixa de texto 18" o:spid="_x0000_s1026" type="#_x0000_t202" style="position:absolute;margin-left:31.2pt;margin-top:6.45pt;width:141.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" fillcolor="white [3201]" strokeweight=".5pt">
                <v:path arrowok="t"/>
                <v:textbox>
                  <w:txbxContent>
                    <w:p w:rsidR="00086657" w:rsidRPr="00E70249" w:rsidRDefault="00086657" w:rsidP="00086657">
                      <w:pPr>
                        <w:rPr>
                          <w:rFonts w:ascii="Arial" w:hAnsi="Arial" w:cs="Arial"/>
                          <w:sz w:val="20"/>
                          <w:szCs w:val="20"/>
                        </w:rPr>
                      </w:pPr>
                      <w:r w:rsidRPr="00E70249">
                        <w:rPr>
                          <w:rFonts w:ascii="Arial" w:hAnsi="Arial" w:cs="Arial"/>
                          <w:sz w:val="20"/>
                          <w:szCs w:val="20"/>
                        </w:rPr>
                        <w:t>110 artigos identificados</w:t>
                      </w:r>
                    </w:p>
                  </w:txbxContent>
                </v:textbox>
              </v:shape>
            </w:pict>
          </mc:Fallback>
        </mc:AlternateContent>
      </w:r>
    </w:p>
    <w:p w:rsidR="00086657" w:rsidRDefault="00086657" w:rsidP="001157B1">
      <w:pPr>
        <w:spacing w:before="80"/>
        <w:rPr>
          <w:rFonts w:ascii="Arial" w:eastAsiaTheme="majorEastAsia" w:hAnsi="Arial" w:cs="Arial"/>
        </w:rPr>
      </w:pPr>
      <w:r>
        <w:rPr>
          <w:noProof/>
          <w:lang w:eastAsia="pt-BR"/>
        </w:rPr>
        <mc:AlternateContent>
          <mc:Choice Requires="wps">
            <w:drawing>
              <wp:anchor distT="0" distB="0" distL="114300" distR="114300" simplePos="0" relativeHeight="251664384" behindDoc="0" locked="0" layoutInCell="1" allowOverlap="1" wp14:anchorId="43C8485C" wp14:editId="758CD958">
                <wp:simplePos x="0" y="0"/>
                <wp:positionH relativeFrom="column">
                  <wp:posOffset>1005840</wp:posOffset>
                </wp:positionH>
                <wp:positionV relativeFrom="paragraph">
                  <wp:posOffset>165735</wp:posOffset>
                </wp:positionV>
                <wp:extent cx="561975" cy="314325"/>
                <wp:effectExtent l="0" t="0" r="47625" b="104775"/>
                <wp:wrapNone/>
                <wp:docPr id="9" name="Conector angulad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314325"/>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4D274B2"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9" o:spid="_x0000_s1026" type="#_x0000_t34" style="position:absolute;margin-left:79.2pt;margin-top:13.05pt;width:44.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" strokecolor="black [3213]" strokeweight=".5pt">
                <v:stroke endarrow="open"/>
                <o:lock v:ext="edit" shapetype="f"/>
              </v:shape>
            </w:pict>
          </mc:Fallback>
        </mc:AlternateContent>
      </w:r>
      <w:r>
        <w:rPr>
          <w:noProof/>
          <w:lang w:eastAsia="pt-BR"/>
        </w:rPr>
        <mc:AlternateContent>
          <mc:Choice Requires="wps">
            <w:drawing>
              <wp:anchor distT="0" distB="0" distL="114300" distR="114300" simplePos="0" relativeHeight="251663360" behindDoc="0" locked="0" layoutInCell="1" allowOverlap="1" wp14:anchorId="377B02B3" wp14:editId="05235F14">
                <wp:simplePos x="0" y="0"/>
                <wp:positionH relativeFrom="column">
                  <wp:posOffset>2377440</wp:posOffset>
                </wp:positionH>
                <wp:positionV relativeFrom="paragraph">
                  <wp:posOffset>51435</wp:posOffset>
                </wp:positionV>
                <wp:extent cx="2904490" cy="685800"/>
                <wp:effectExtent l="0" t="0" r="10160" b="19050"/>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449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20</w:t>
                            </w:r>
                            <w:r>
                              <w:rPr>
                                <w:rFonts w:ascii="Arial" w:hAnsi="Arial" w:cs="Arial"/>
                                <w:sz w:val="20"/>
                                <w:szCs w:val="20"/>
                              </w:rPr>
                              <w:t xml:space="preserve"> </w:t>
                            </w:r>
                            <w:r w:rsidRPr="00E70249">
                              <w:rPr>
                                <w:rFonts w:ascii="Arial" w:hAnsi="Arial" w:cs="Arial"/>
                                <w:sz w:val="20"/>
                                <w:szCs w:val="20"/>
                              </w:rPr>
                              <w:t>artigos excluídos, não apresent</w:t>
                            </w:r>
                            <w:r>
                              <w:rPr>
                                <w:rFonts w:ascii="Arial" w:hAnsi="Arial" w:cs="Arial"/>
                                <w:sz w:val="20"/>
                                <w:szCs w:val="20"/>
                              </w:rPr>
                              <w:t>avam os critérios de inclusão (</w:t>
                            </w:r>
                            <w:r w:rsidRPr="00E70249">
                              <w:rPr>
                                <w:rFonts w:ascii="Arial" w:hAnsi="Arial" w:cs="Arial"/>
                                <w:sz w:val="20"/>
                                <w:szCs w:val="20"/>
                              </w:rPr>
                              <w:t>sequela bilateral, idade superior ou inferior, e não se utilizou a TCI.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B02B3" id="Caixa de texto 27" o:spid="_x0000_s1027" type="#_x0000_t202" style="position:absolute;margin-left:187.2pt;margin-top:4.05pt;width:228.7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" fillcolor="white [3201]" strokeweight=".5pt">
                <v:path arrowok="t"/>
                <v:textbo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20</w:t>
                      </w:r>
                      <w:r>
                        <w:rPr>
                          <w:rFonts w:ascii="Arial" w:hAnsi="Arial" w:cs="Arial"/>
                          <w:sz w:val="20"/>
                          <w:szCs w:val="20"/>
                        </w:rPr>
                        <w:t xml:space="preserve"> </w:t>
                      </w:r>
                      <w:r w:rsidRPr="00E70249">
                        <w:rPr>
                          <w:rFonts w:ascii="Arial" w:hAnsi="Arial" w:cs="Arial"/>
                          <w:sz w:val="20"/>
                          <w:szCs w:val="20"/>
                        </w:rPr>
                        <w:t>artigos excluídos, não apresent</w:t>
                      </w:r>
                      <w:r>
                        <w:rPr>
                          <w:rFonts w:ascii="Arial" w:hAnsi="Arial" w:cs="Arial"/>
                          <w:sz w:val="20"/>
                          <w:szCs w:val="20"/>
                        </w:rPr>
                        <w:t>avam os critérios de inclusão (</w:t>
                      </w:r>
                      <w:r w:rsidRPr="00E70249">
                        <w:rPr>
                          <w:rFonts w:ascii="Arial" w:hAnsi="Arial" w:cs="Arial"/>
                          <w:sz w:val="20"/>
                          <w:szCs w:val="20"/>
                        </w:rPr>
                        <w:t>sequela bilateral, idade superior ou inferior, e não se utilizou a TCI.</w:t>
                      </w:r>
                    </w:p>
                  </w:txbxContent>
                </v:textbox>
              </v:shape>
            </w:pict>
          </mc:Fallback>
        </mc:AlternateContent>
      </w:r>
    </w:p>
    <w:p w:rsidR="00086657" w:rsidRPr="00EC4655" w:rsidRDefault="00086657" w:rsidP="001157B1">
      <w:pPr>
        <w:spacing w:before="80"/>
        <w:rPr>
          <w:rFonts w:ascii="Arial" w:eastAsiaTheme="majorEastAsia" w:hAnsi="Arial" w:cs="Arial"/>
        </w:rPr>
      </w:pPr>
    </w:p>
    <w:p w:rsidR="00086657" w:rsidRPr="00EC4655" w:rsidRDefault="00086657" w:rsidP="001157B1">
      <w:pPr>
        <w:spacing w:before="80"/>
        <w:rPr>
          <w:rFonts w:ascii="Arial" w:eastAsiaTheme="majorEastAsia" w:hAnsi="Arial" w:cs="Arial"/>
        </w:rPr>
      </w:pPr>
      <w:r>
        <w:rPr>
          <w:noProof/>
          <w:lang w:eastAsia="pt-BR"/>
        </w:rPr>
        <mc:AlternateContent>
          <mc:Choice Requires="wps">
            <w:drawing>
              <wp:anchor distT="0" distB="0" distL="114300" distR="114300" simplePos="0" relativeHeight="251659264" behindDoc="0" locked="0" layoutInCell="1" allowOverlap="1" wp14:anchorId="390331C5" wp14:editId="4A99328D">
                <wp:simplePos x="0" y="0"/>
                <wp:positionH relativeFrom="column">
                  <wp:posOffset>2377440</wp:posOffset>
                </wp:positionH>
                <wp:positionV relativeFrom="paragraph">
                  <wp:posOffset>284479</wp:posOffset>
                </wp:positionV>
                <wp:extent cx="2904490" cy="387350"/>
                <wp:effectExtent l="0" t="0" r="10160" b="1270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4490" cy="38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75 artigos excluídos, baseados no tipo de estudo.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331C5" id="Caixa de texto 14" o:spid="_x0000_s1028" type="#_x0000_t202" style="position:absolute;margin-left:187.2pt;margin-top:22.4pt;width:228.7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" fillcolor="white [3201]" strokeweight=".5pt">
                <v:path arrowok="t"/>
                <v:textbo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75 artigos excluídos, baseados no tipo de estudo.</w:t>
                      </w:r>
                    </w:p>
                  </w:txbxContent>
                </v:textbox>
              </v:shape>
            </w:pict>
          </mc:Fallback>
        </mc:AlternateContent>
      </w:r>
      <w:r>
        <w:rPr>
          <w:rFonts w:ascii="Arial" w:eastAsiaTheme="majorEastAsia" w:hAnsi="Arial" w:cs="Arial"/>
          <w:noProof/>
          <w:lang w:eastAsia="pt-BR"/>
        </w:rPr>
        <mc:AlternateContent>
          <mc:Choice Requires="wps">
            <w:drawing>
              <wp:anchor distT="0" distB="0" distL="114300" distR="114300" simplePos="0" relativeHeight="251665408" behindDoc="0" locked="0" layoutInCell="1" allowOverlap="1" wp14:anchorId="723518D8" wp14:editId="7A071D90">
                <wp:simplePos x="0" y="0"/>
                <wp:positionH relativeFrom="column">
                  <wp:posOffset>1415415</wp:posOffset>
                </wp:positionH>
                <wp:positionV relativeFrom="paragraph">
                  <wp:posOffset>113665</wp:posOffset>
                </wp:positionV>
                <wp:extent cx="638175" cy="285750"/>
                <wp:effectExtent l="0" t="0" r="66675" b="114300"/>
                <wp:wrapNone/>
                <wp:docPr id="10" name="Conector angulad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285750"/>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8B70B7" id="Conector angulado 10" o:spid="_x0000_s1026" type="#_x0000_t34" style="position:absolute;margin-left:111.45pt;margin-top:8.95pt;width:50.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" strokecolor="black [3213]" strokeweight=".5pt">
                <v:stroke endarrow="open"/>
                <o:lock v:ext="edit" shapetype="f"/>
              </v:shape>
            </w:pict>
          </mc:Fallback>
        </mc:AlternateContent>
      </w:r>
    </w:p>
    <w:p w:rsidR="00086657" w:rsidRPr="00EC4655" w:rsidRDefault="00086657" w:rsidP="001157B1">
      <w:pPr>
        <w:spacing w:before="80"/>
        <w:rPr>
          <w:rFonts w:ascii="Arial" w:eastAsiaTheme="majorEastAsia" w:hAnsi="Arial" w:cs="Arial"/>
        </w:rPr>
      </w:pPr>
    </w:p>
    <w:p w:rsidR="00086657" w:rsidRDefault="00086657" w:rsidP="001157B1">
      <w:pPr>
        <w:spacing w:before="80"/>
        <w:rPr>
          <w:rFonts w:ascii="Arial" w:eastAsiaTheme="majorEastAsia" w:hAnsi="Arial" w:cs="Arial"/>
        </w:rPr>
      </w:pPr>
      <w:r>
        <w:rPr>
          <w:noProof/>
          <w:lang w:eastAsia="pt-BR"/>
        </w:rPr>
        <mc:AlternateContent>
          <mc:Choice Requires="wps">
            <w:drawing>
              <wp:anchor distT="0" distB="0" distL="114300" distR="114300" simplePos="0" relativeHeight="251666432" behindDoc="0" locked="0" layoutInCell="1" allowOverlap="1" wp14:anchorId="7E060A54" wp14:editId="48C743CF">
                <wp:simplePos x="0" y="0"/>
                <wp:positionH relativeFrom="column">
                  <wp:posOffset>2377440</wp:posOffset>
                </wp:positionH>
                <wp:positionV relativeFrom="paragraph">
                  <wp:posOffset>48260</wp:posOffset>
                </wp:positionV>
                <wp:extent cx="723900" cy="257175"/>
                <wp:effectExtent l="38100" t="0" r="19050" b="104775"/>
                <wp:wrapNone/>
                <wp:docPr id="16" name="Conector angulad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723900" cy="257175"/>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076A1C8" id="Conector angulado 16" o:spid="_x0000_s1026" type="#_x0000_t34" style="position:absolute;margin-left:187.2pt;margin-top:3.8pt;width:57pt;height:20.2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" strokecolor="black [3213]" strokeweight=".5pt">
                <v:stroke endarrow="open"/>
                <o:lock v:ext="edit" shapetype="f"/>
              </v:shape>
            </w:pict>
          </mc:Fallback>
        </mc:AlternateContent>
      </w:r>
      <w:r>
        <w:rPr>
          <w:rFonts w:ascii="Arial" w:eastAsiaTheme="majorEastAsia" w:hAnsi="Arial" w:cs="Arial"/>
          <w:noProof/>
          <w:lang w:eastAsia="pt-BR"/>
        </w:rPr>
        <mc:AlternateContent>
          <mc:Choice Requires="wps">
            <w:drawing>
              <wp:anchor distT="0" distB="0" distL="114300" distR="114300" simplePos="0" relativeHeight="251669504" behindDoc="0" locked="0" layoutInCell="1" allowOverlap="1" wp14:anchorId="1F812974" wp14:editId="39200508">
                <wp:simplePos x="0" y="0"/>
                <wp:positionH relativeFrom="column">
                  <wp:posOffset>3358515</wp:posOffset>
                </wp:positionH>
                <wp:positionV relativeFrom="paragraph">
                  <wp:posOffset>155575</wp:posOffset>
                </wp:positionV>
                <wp:extent cx="1990725" cy="990600"/>
                <wp:effectExtent l="0" t="0" r="28575" b="19050"/>
                <wp:wrapNone/>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 xml:space="preserve">75 artigos excluídos: </w:t>
                            </w:r>
                          </w:p>
                          <w:p w:rsidR="00086657" w:rsidRPr="00E70249" w:rsidRDefault="00086657" w:rsidP="00086657">
                            <w:pPr>
                              <w:jc w:val="both"/>
                              <w:rPr>
                                <w:rFonts w:ascii="Arial" w:hAnsi="Arial" w:cs="Arial"/>
                                <w:sz w:val="20"/>
                                <w:szCs w:val="20"/>
                              </w:rPr>
                            </w:pPr>
                            <w:r w:rsidRPr="00E70249">
                              <w:rPr>
                                <w:rFonts w:ascii="Arial" w:hAnsi="Arial" w:cs="Arial"/>
                                <w:sz w:val="20"/>
                                <w:szCs w:val="20"/>
                              </w:rPr>
                              <w:t>12 revisões</w:t>
                            </w:r>
                          </w:p>
                          <w:p w:rsidR="00086657" w:rsidRPr="00E70249" w:rsidRDefault="00086657" w:rsidP="00086657">
                            <w:pPr>
                              <w:jc w:val="both"/>
                              <w:rPr>
                                <w:rFonts w:ascii="Arial" w:hAnsi="Arial" w:cs="Arial"/>
                                <w:sz w:val="20"/>
                                <w:szCs w:val="20"/>
                              </w:rPr>
                            </w:pPr>
                            <w:r>
                              <w:rPr>
                                <w:rFonts w:ascii="Arial" w:hAnsi="Arial" w:cs="Arial"/>
                                <w:sz w:val="20"/>
                                <w:szCs w:val="20"/>
                              </w:rPr>
                              <w:t>50 estudos de caso</w:t>
                            </w:r>
                          </w:p>
                          <w:p w:rsidR="00086657" w:rsidRPr="00E70249" w:rsidRDefault="00086657" w:rsidP="00086657">
                            <w:pPr>
                              <w:jc w:val="both"/>
                              <w:rPr>
                                <w:rFonts w:ascii="Arial" w:hAnsi="Arial" w:cs="Arial"/>
                                <w:sz w:val="20"/>
                                <w:szCs w:val="20"/>
                              </w:rPr>
                            </w:pPr>
                            <w:r>
                              <w:rPr>
                                <w:rFonts w:ascii="Arial" w:hAnsi="Arial" w:cs="Arial"/>
                                <w:sz w:val="20"/>
                                <w:szCs w:val="20"/>
                              </w:rPr>
                              <w:t>5 relatos</w:t>
                            </w:r>
                            <w:r w:rsidRPr="00E70249">
                              <w:rPr>
                                <w:rFonts w:ascii="Arial" w:hAnsi="Arial" w:cs="Arial"/>
                                <w:sz w:val="20"/>
                                <w:szCs w:val="20"/>
                              </w:rPr>
                              <w:t xml:space="preserve"> de caso</w:t>
                            </w:r>
                          </w:p>
                          <w:p w:rsidR="00086657" w:rsidRPr="00E70249" w:rsidRDefault="00086657" w:rsidP="00086657">
                            <w:pPr>
                              <w:jc w:val="both"/>
                              <w:rPr>
                                <w:rFonts w:ascii="Arial" w:hAnsi="Arial" w:cs="Arial"/>
                                <w:sz w:val="20"/>
                                <w:szCs w:val="20"/>
                              </w:rPr>
                            </w:pPr>
                            <w:r w:rsidRPr="00E70249">
                              <w:rPr>
                                <w:rFonts w:ascii="Arial" w:hAnsi="Arial" w:cs="Arial"/>
                                <w:sz w:val="20"/>
                                <w:szCs w:val="20"/>
                              </w:rPr>
                              <w:t>5 coortes</w:t>
                            </w:r>
                          </w:p>
                          <w:p w:rsidR="00086657" w:rsidRPr="00E70249" w:rsidRDefault="00086657" w:rsidP="00086657">
                            <w:pPr>
                              <w:jc w:val="both"/>
                              <w:rPr>
                                <w:rFonts w:ascii="Arial" w:hAnsi="Arial" w:cs="Arial"/>
                                <w:sz w:val="20"/>
                                <w:szCs w:val="20"/>
                              </w:rPr>
                            </w:pPr>
                            <w:r w:rsidRPr="00E70249">
                              <w:rPr>
                                <w:rFonts w:ascii="Arial" w:hAnsi="Arial" w:cs="Arial"/>
                                <w:sz w:val="20"/>
                                <w:szCs w:val="20"/>
                              </w:rPr>
                              <w:t>3 editoriais/resumo</w:t>
                            </w:r>
                          </w:p>
                          <w:p w:rsidR="00086657" w:rsidRDefault="00086657" w:rsidP="0008665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2974" id="Caixa de texto 32" o:spid="_x0000_s1029" type="#_x0000_t202" style="position:absolute;margin-left:264.45pt;margin-top:12.25pt;width:156.7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" fillcolor="white [3201]" strokeweight=".5pt">
                <v:path arrowok="t"/>
                <v:textbo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 xml:space="preserve">75 artigos excluídos: </w:t>
                      </w:r>
                    </w:p>
                    <w:p w:rsidR="00086657" w:rsidRPr="00E70249" w:rsidRDefault="00086657" w:rsidP="00086657">
                      <w:pPr>
                        <w:jc w:val="both"/>
                        <w:rPr>
                          <w:rFonts w:ascii="Arial" w:hAnsi="Arial" w:cs="Arial"/>
                          <w:sz w:val="20"/>
                          <w:szCs w:val="20"/>
                        </w:rPr>
                      </w:pPr>
                      <w:r w:rsidRPr="00E70249">
                        <w:rPr>
                          <w:rFonts w:ascii="Arial" w:hAnsi="Arial" w:cs="Arial"/>
                          <w:sz w:val="20"/>
                          <w:szCs w:val="20"/>
                        </w:rPr>
                        <w:t>12 revisões</w:t>
                      </w:r>
                    </w:p>
                    <w:p w:rsidR="00086657" w:rsidRPr="00E70249" w:rsidRDefault="00086657" w:rsidP="00086657">
                      <w:pPr>
                        <w:jc w:val="both"/>
                        <w:rPr>
                          <w:rFonts w:ascii="Arial" w:hAnsi="Arial" w:cs="Arial"/>
                          <w:sz w:val="20"/>
                          <w:szCs w:val="20"/>
                        </w:rPr>
                      </w:pPr>
                      <w:r>
                        <w:rPr>
                          <w:rFonts w:ascii="Arial" w:hAnsi="Arial" w:cs="Arial"/>
                          <w:sz w:val="20"/>
                          <w:szCs w:val="20"/>
                        </w:rPr>
                        <w:t>50 estudos de caso</w:t>
                      </w:r>
                    </w:p>
                    <w:p w:rsidR="00086657" w:rsidRPr="00E70249" w:rsidRDefault="00086657" w:rsidP="00086657">
                      <w:pPr>
                        <w:jc w:val="both"/>
                        <w:rPr>
                          <w:rFonts w:ascii="Arial" w:hAnsi="Arial" w:cs="Arial"/>
                          <w:sz w:val="20"/>
                          <w:szCs w:val="20"/>
                        </w:rPr>
                      </w:pPr>
                      <w:r>
                        <w:rPr>
                          <w:rFonts w:ascii="Arial" w:hAnsi="Arial" w:cs="Arial"/>
                          <w:sz w:val="20"/>
                          <w:szCs w:val="20"/>
                        </w:rPr>
                        <w:t>5 relatos</w:t>
                      </w:r>
                      <w:r w:rsidRPr="00E70249">
                        <w:rPr>
                          <w:rFonts w:ascii="Arial" w:hAnsi="Arial" w:cs="Arial"/>
                          <w:sz w:val="20"/>
                          <w:szCs w:val="20"/>
                        </w:rPr>
                        <w:t xml:space="preserve"> de caso</w:t>
                      </w:r>
                    </w:p>
                    <w:p w:rsidR="00086657" w:rsidRPr="00E70249" w:rsidRDefault="00086657" w:rsidP="00086657">
                      <w:pPr>
                        <w:jc w:val="both"/>
                        <w:rPr>
                          <w:rFonts w:ascii="Arial" w:hAnsi="Arial" w:cs="Arial"/>
                          <w:sz w:val="20"/>
                          <w:szCs w:val="20"/>
                        </w:rPr>
                      </w:pPr>
                      <w:r w:rsidRPr="00E70249">
                        <w:rPr>
                          <w:rFonts w:ascii="Arial" w:hAnsi="Arial" w:cs="Arial"/>
                          <w:sz w:val="20"/>
                          <w:szCs w:val="20"/>
                        </w:rPr>
                        <w:t>5 coortes</w:t>
                      </w:r>
                    </w:p>
                    <w:p w:rsidR="00086657" w:rsidRPr="00E70249" w:rsidRDefault="00086657" w:rsidP="00086657">
                      <w:pPr>
                        <w:jc w:val="both"/>
                        <w:rPr>
                          <w:rFonts w:ascii="Arial" w:hAnsi="Arial" w:cs="Arial"/>
                          <w:sz w:val="20"/>
                          <w:szCs w:val="20"/>
                        </w:rPr>
                      </w:pPr>
                      <w:r w:rsidRPr="00E70249">
                        <w:rPr>
                          <w:rFonts w:ascii="Arial" w:hAnsi="Arial" w:cs="Arial"/>
                          <w:sz w:val="20"/>
                          <w:szCs w:val="20"/>
                        </w:rPr>
                        <w:t>3 editoriais/resumo</w:t>
                      </w:r>
                    </w:p>
                    <w:p w:rsidR="00086657" w:rsidRDefault="00086657" w:rsidP="00086657">
                      <w:pPr>
                        <w:jc w:val="both"/>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1C6DDF19" wp14:editId="3E1477BB">
                <wp:simplePos x="0" y="0"/>
                <wp:positionH relativeFrom="column">
                  <wp:posOffset>339090</wp:posOffset>
                </wp:positionH>
                <wp:positionV relativeFrom="paragraph">
                  <wp:posOffset>130810</wp:posOffset>
                </wp:positionV>
                <wp:extent cx="1800225" cy="542925"/>
                <wp:effectExtent l="0" t="0" r="28575" b="28575"/>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16 artigos de E.C.R recuperados para análise detalhada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DDF19" id="Caixa de texto 17" o:spid="_x0000_s1030" type="#_x0000_t202" style="position:absolute;margin-left:26.7pt;margin-top:10.3pt;width:141.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" fillcolor="white [3201]" strokeweight=".5pt">
                <v:path arrowok="t"/>
                <v:textbo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16 artigos de E.C.R recuperados para análise detalhada</w:t>
                      </w:r>
                    </w:p>
                  </w:txbxContent>
                </v:textbox>
              </v:shape>
            </w:pict>
          </mc:Fallback>
        </mc:AlternateContent>
      </w:r>
    </w:p>
    <w:p w:rsidR="00086657" w:rsidRDefault="00086657" w:rsidP="001157B1">
      <w:pPr>
        <w:spacing w:before="80"/>
        <w:rPr>
          <w:rFonts w:ascii="Arial" w:eastAsiaTheme="majorEastAsia" w:hAnsi="Arial" w:cs="Arial"/>
        </w:rPr>
      </w:pPr>
      <w:r>
        <w:rPr>
          <w:rFonts w:ascii="Arial" w:eastAsiaTheme="majorEastAsia" w:hAnsi="Arial" w:cs="Arial"/>
          <w:noProof/>
          <w:lang w:eastAsia="pt-BR"/>
        </w:rPr>
        <mc:AlternateContent>
          <mc:Choice Requires="wps">
            <w:drawing>
              <wp:anchor distT="0" distB="0" distL="114300" distR="114300" simplePos="0" relativeHeight="251670528" behindDoc="0" locked="0" layoutInCell="1" allowOverlap="1" wp14:anchorId="32421CDF" wp14:editId="2D5A6BFB">
                <wp:simplePos x="0" y="0"/>
                <wp:positionH relativeFrom="column">
                  <wp:posOffset>2139315</wp:posOffset>
                </wp:positionH>
                <wp:positionV relativeFrom="paragraph">
                  <wp:posOffset>97790</wp:posOffset>
                </wp:positionV>
                <wp:extent cx="1056640" cy="638175"/>
                <wp:effectExtent l="0" t="0" r="29210" b="104775"/>
                <wp:wrapNone/>
                <wp:docPr id="4" name="Conector angulad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638175"/>
                        </a:xfrm>
                        <a:prstGeom prst="bentConnector3">
                          <a:avLst>
                            <a:gd name="adj1" fmla="val 50000"/>
                          </a:avLst>
                        </a:prstGeom>
                        <a:noFill/>
                        <a:ln w="9525">
                          <a:solidFill>
                            <a:schemeClr val="tx1"/>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4EC5D" id="Conector angulado 4" o:spid="_x0000_s1026" type="#_x0000_t34" style="position:absolute;margin-left:168.45pt;margin-top:7.7pt;width:83.2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" strokecolor="black [3213]">
                <v:stroke endarrow="open"/>
              </v:shape>
            </w:pict>
          </mc:Fallback>
        </mc:AlternateContent>
      </w:r>
    </w:p>
    <w:p w:rsidR="00086657" w:rsidRDefault="00086657" w:rsidP="001157B1">
      <w:pPr>
        <w:spacing w:before="80"/>
        <w:rPr>
          <w:rFonts w:ascii="Arial" w:eastAsiaTheme="majorEastAsia" w:hAnsi="Arial" w:cs="Arial"/>
        </w:rPr>
      </w:pPr>
      <w:r>
        <w:rPr>
          <w:noProof/>
          <w:lang w:eastAsia="pt-BR"/>
        </w:rPr>
        <mc:AlternateContent>
          <mc:Choice Requires="wps">
            <w:drawing>
              <wp:anchor distT="0" distB="0" distL="114300" distR="114300" simplePos="0" relativeHeight="251662336" behindDoc="0" locked="0" layoutInCell="1" allowOverlap="1" wp14:anchorId="00ED5547" wp14:editId="2BED3725">
                <wp:simplePos x="0" y="0"/>
                <wp:positionH relativeFrom="column">
                  <wp:posOffset>339090</wp:posOffset>
                </wp:positionH>
                <wp:positionV relativeFrom="paragraph">
                  <wp:posOffset>230505</wp:posOffset>
                </wp:positionV>
                <wp:extent cx="1800225" cy="295275"/>
                <wp:effectExtent l="0" t="0" r="28575" b="28575"/>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6657" w:rsidRPr="00E70249" w:rsidRDefault="00086657" w:rsidP="00086657">
                            <w:pPr>
                              <w:rPr>
                                <w:rFonts w:ascii="Arial" w:hAnsi="Arial" w:cs="Arial"/>
                                <w:sz w:val="20"/>
                                <w:szCs w:val="20"/>
                              </w:rPr>
                            </w:pPr>
                            <w:r w:rsidRPr="00E70249">
                              <w:rPr>
                                <w:rFonts w:ascii="Arial" w:hAnsi="Arial" w:cs="Arial"/>
                                <w:sz w:val="20"/>
                                <w:szCs w:val="20"/>
                              </w:rPr>
                              <w:t>4</w:t>
                            </w:r>
                            <w:r>
                              <w:rPr>
                                <w:rFonts w:ascii="Arial" w:hAnsi="Arial" w:cs="Arial"/>
                                <w:sz w:val="20"/>
                                <w:szCs w:val="20"/>
                              </w:rPr>
                              <w:t xml:space="preserve"> </w:t>
                            </w:r>
                            <w:r w:rsidRPr="00E70249">
                              <w:rPr>
                                <w:rFonts w:ascii="Arial" w:hAnsi="Arial" w:cs="Arial"/>
                                <w:sz w:val="20"/>
                                <w:szCs w:val="20"/>
                              </w:rPr>
                              <w:t>artigos incluídos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D5547" id="Caixa de texto 24" o:spid="_x0000_s1031" type="#_x0000_t202" style="position:absolute;margin-left:26.7pt;margin-top:18.15pt;width:141.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" fillcolor="white [3201]" strokeweight=".5pt">
                <v:path arrowok="t"/>
                <v:textbox>
                  <w:txbxContent>
                    <w:p w:rsidR="00086657" w:rsidRPr="00E70249" w:rsidRDefault="00086657" w:rsidP="00086657">
                      <w:pPr>
                        <w:rPr>
                          <w:rFonts w:ascii="Arial" w:hAnsi="Arial" w:cs="Arial"/>
                          <w:sz w:val="20"/>
                          <w:szCs w:val="20"/>
                        </w:rPr>
                      </w:pPr>
                      <w:r w:rsidRPr="00E70249">
                        <w:rPr>
                          <w:rFonts w:ascii="Arial" w:hAnsi="Arial" w:cs="Arial"/>
                          <w:sz w:val="20"/>
                          <w:szCs w:val="20"/>
                        </w:rPr>
                        <w:t>4</w:t>
                      </w:r>
                      <w:r>
                        <w:rPr>
                          <w:rFonts w:ascii="Arial" w:hAnsi="Arial" w:cs="Arial"/>
                          <w:sz w:val="20"/>
                          <w:szCs w:val="20"/>
                        </w:rPr>
                        <w:t xml:space="preserve"> </w:t>
                      </w:r>
                      <w:r w:rsidRPr="00E70249">
                        <w:rPr>
                          <w:rFonts w:ascii="Arial" w:hAnsi="Arial" w:cs="Arial"/>
                          <w:sz w:val="20"/>
                          <w:szCs w:val="20"/>
                        </w:rPr>
                        <w:t>artigos incluídos</w:t>
                      </w:r>
                    </w:p>
                  </w:txbxContent>
                </v:textbox>
              </v:shape>
            </w:pict>
          </mc:Fallback>
        </mc:AlternateContent>
      </w:r>
      <w:r>
        <w:rPr>
          <w:noProof/>
          <w:lang w:eastAsia="pt-BR"/>
        </w:rPr>
        <mc:AlternateContent>
          <mc:Choice Requires="wps">
            <w:drawing>
              <wp:anchor distT="0" distB="0" distL="114298" distR="114298" simplePos="0" relativeHeight="251668480" behindDoc="0" locked="0" layoutInCell="1" allowOverlap="1" wp14:anchorId="466962AE" wp14:editId="53FB8331">
                <wp:simplePos x="0" y="0"/>
                <wp:positionH relativeFrom="column">
                  <wp:posOffset>4319904</wp:posOffset>
                </wp:positionH>
                <wp:positionV relativeFrom="paragraph">
                  <wp:posOffset>73025</wp:posOffset>
                </wp:positionV>
                <wp:extent cx="0" cy="295275"/>
                <wp:effectExtent l="95250" t="0" r="57150" b="66675"/>
                <wp:wrapNone/>
                <wp:docPr id="28" name="Conector de seta ret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A6F841" id="_x0000_t32" coordsize="21600,21600" o:spt="32" o:oned="t" path="m,l21600,21600e" filled="f">
                <v:path arrowok="t" fillok="f" o:connecttype="none"/>
                <o:lock v:ext="edit" shapetype="t"/>
              </v:shapetype>
              <v:shape id="Conector de seta reta 28" o:spid="_x0000_s1026" type="#_x0000_t32" style="position:absolute;margin-left:340.15pt;margin-top:5.75pt;width:0;height:23.2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" strokecolor="black [3213]" strokeweight=".5pt">
                <v:stroke endarrow="open" joinstyle="miter"/>
                <o:lock v:ext="edit" shapetype="f"/>
              </v:shape>
            </w:pict>
          </mc:Fallback>
        </mc:AlternateContent>
      </w:r>
    </w:p>
    <w:p w:rsidR="00086657" w:rsidRDefault="00086657" w:rsidP="001157B1">
      <w:pPr>
        <w:spacing w:before="80"/>
        <w:rPr>
          <w:rFonts w:ascii="Arial" w:eastAsiaTheme="majorEastAsia" w:hAnsi="Arial" w:cs="Arial"/>
        </w:rPr>
      </w:pPr>
      <w:r w:rsidRPr="00086657">
        <w:rPr>
          <w:rFonts w:ascii="Arial" w:eastAsiaTheme="majorEastAsia" w:hAnsi="Arial" w:cs="Arial"/>
          <w:noProof/>
          <w:lang w:eastAsia="pt-BR"/>
        </w:rPr>
        <mc:AlternateContent>
          <mc:Choice Requires="wps">
            <w:drawing>
              <wp:anchor distT="0" distB="0" distL="114300" distR="114300" simplePos="0" relativeHeight="251671552" behindDoc="0" locked="0" layoutInCell="1" allowOverlap="1" wp14:anchorId="72E4C604" wp14:editId="4D8D71C7">
                <wp:simplePos x="0" y="0"/>
                <wp:positionH relativeFrom="column">
                  <wp:posOffset>501015</wp:posOffset>
                </wp:positionH>
                <wp:positionV relativeFrom="paragraph">
                  <wp:posOffset>267970</wp:posOffset>
                </wp:positionV>
                <wp:extent cx="1123950" cy="428625"/>
                <wp:effectExtent l="38100" t="76200" r="57150" b="104775"/>
                <wp:wrapNone/>
                <wp:docPr id="5"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428625"/>
                        </a:xfrm>
                        <a:prstGeom prst="bentConnector3">
                          <a:avLst>
                            <a:gd name="adj1" fmla="val 50000"/>
                          </a:avLst>
                        </a:prstGeom>
                        <a:noFill/>
                        <a:ln w="9525">
                          <a:solidFill>
                            <a:schemeClr val="tx1"/>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F87ECDB" id="Conector de seta reta 7" o:spid="_x0000_s1026" type="#_x0000_t34" style="position:absolute;margin-left:39.45pt;margin-top:21.1pt;width:88.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" strokecolor="black [3213]">
                <v:stroke startarrow="open" endarrow="open"/>
              </v:shape>
            </w:pict>
          </mc:Fallback>
        </mc:AlternateContent>
      </w:r>
    </w:p>
    <w:p w:rsidR="00086657" w:rsidRDefault="00086657" w:rsidP="001157B1">
      <w:pPr>
        <w:spacing w:before="80"/>
        <w:rPr>
          <w:rFonts w:ascii="Arial" w:eastAsiaTheme="majorEastAsia" w:hAnsi="Arial" w:cs="Arial"/>
        </w:rPr>
      </w:pPr>
      <w:r>
        <w:rPr>
          <w:rFonts w:ascii="Arial" w:eastAsiaTheme="majorEastAsia" w:hAnsi="Arial" w:cs="Arial"/>
          <w:noProof/>
          <w:lang w:eastAsia="pt-BR"/>
        </w:rPr>
        <mc:AlternateContent>
          <mc:Choice Requires="wps">
            <w:drawing>
              <wp:anchor distT="0" distB="0" distL="114300" distR="114300" simplePos="0" relativeHeight="251672576" behindDoc="0" locked="0" layoutInCell="1" allowOverlap="1" wp14:anchorId="4652AF8B" wp14:editId="6D252F93">
                <wp:simplePos x="0" y="0"/>
                <wp:positionH relativeFrom="column">
                  <wp:posOffset>1682115</wp:posOffset>
                </wp:positionH>
                <wp:positionV relativeFrom="paragraph">
                  <wp:posOffset>267970</wp:posOffset>
                </wp:positionV>
                <wp:extent cx="1857375" cy="1038225"/>
                <wp:effectExtent l="0" t="0" r="28575" b="2857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5 ensaios clínicos foram excluídos por não se tratarem do MS acometido.</w:t>
                            </w:r>
                          </w:p>
                          <w:p w:rsidR="00086657" w:rsidRPr="00E70249" w:rsidRDefault="00086657" w:rsidP="00086657">
                            <w:pPr>
                              <w:jc w:val="both"/>
                              <w:rPr>
                                <w:rFonts w:ascii="Arial" w:hAnsi="Arial" w:cs="Arial"/>
                                <w:sz w:val="20"/>
                                <w:szCs w:val="20"/>
                              </w:rPr>
                            </w:pPr>
                            <w:r w:rsidRPr="00E70249">
                              <w:rPr>
                                <w:rFonts w:ascii="Arial" w:hAnsi="Arial" w:cs="Arial"/>
                                <w:sz w:val="20"/>
                                <w:szCs w:val="20"/>
                              </w:rPr>
                              <w:t>4 por não comtemplarem a TCI no AVC.</w:t>
                            </w:r>
                          </w:p>
                          <w:p w:rsidR="00086657" w:rsidRPr="00E70249" w:rsidRDefault="00086657" w:rsidP="00086657">
                            <w:pPr>
                              <w:jc w:val="both"/>
                              <w:rPr>
                                <w:rFonts w:ascii="Arial" w:hAnsi="Arial" w:cs="Arial"/>
                                <w:sz w:val="20"/>
                                <w:szCs w:val="20"/>
                              </w:rPr>
                            </w:pPr>
                            <w:r w:rsidRPr="00E70249">
                              <w:rPr>
                                <w:rFonts w:ascii="Arial" w:hAnsi="Arial" w:cs="Arial"/>
                                <w:sz w:val="20"/>
                                <w:szCs w:val="20"/>
                              </w:rPr>
                              <w:t>2 por conteúdo repetido.</w:t>
                            </w:r>
                          </w:p>
                          <w:p w:rsidR="00086657" w:rsidRPr="00E70249" w:rsidRDefault="00086657" w:rsidP="00086657">
                            <w:pPr>
                              <w:rPr>
                                <w:rFonts w:ascii="Arial" w:hAnsi="Arial" w:cs="Arial"/>
                                <w:sz w:val="20"/>
                                <w:szCs w:val="20"/>
                              </w:rPr>
                            </w:pPr>
                          </w:p>
                          <w:p w:rsidR="00086657" w:rsidRDefault="00086657" w:rsidP="00086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AF8B" id="Caixa de texto 6" o:spid="_x0000_s1032" type="#_x0000_t202" style="position:absolute;margin-left:132.45pt;margin-top:21.1pt;width:146.25pt;height: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" fillcolor="white [3201]" strokeweight=".5pt">
                <v:path arrowok="t"/>
                <v:textbox>
                  <w:txbxContent>
                    <w:p w:rsidR="00086657" w:rsidRPr="00E70249" w:rsidRDefault="00086657" w:rsidP="00086657">
                      <w:pPr>
                        <w:jc w:val="both"/>
                        <w:rPr>
                          <w:rFonts w:ascii="Arial" w:hAnsi="Arial" w:cs="Arial"/>
                          <w:sz w:val="20"/>
                          <w:szCs w:val="20"/>
                        </w:rPr>
                      </w:pPr>
                      <w:r w:rsidRPr="00E70249">
                        <w:rPr>
                          <w:rFonts w:ascii="Arial" w:hAnsi="Arial" w:cs="Arial"/>
                          <w:sz w:val="20"/>
                          <w:szCs w:val="20"/>
                        </w:rPr>
                        <w:t>5 ensaios clínicos foram excluídos por não se tratarem do MS acometido.</w:t>
                      </w:r>
                    </w:p>
                    <w:p w:rsidR="00086657" w:rsidRPr="00E70249" w:rsidRDefault="00086657" w:rsidP="00086657">
                      <w:pPr>
                        <w:jc w:val="both"/>
                        <w:rPr>
                          <w:rFonts w:ascii="Arial" w:hAnsi="Arial" w:cs="Arial"/>
                          <w:sz w:val="20"/>
                          <w:szCs w:val="20"/>
                        </w:rPr>
                      </w:pPr>
                      <w:r w:rsidRPr="00E70249">
                        <w:rPr>
                          <w:rFonts w:ascii="Arial" w:hAnsi="Arial" w:cs="Arial"/>
                          <w:sz w:val="20"/>
                          <w:szCs w:val="20"/>
                        </w:rPr>
                        <w:t>4 por não comtemplarem a TCI no AVC.</w:t>
                      </w:r>
                    </w:p>
                    <w:p w:rsidR="00086657" w:rsidRPr="00E70249" w:rsidRDefault="00086657" w:rsidP="00086657">
                      <w:pPr>
                        <w:jc w:val="both"/>
                        <w:rPr>
                          <w:rFonts w:ascii="Arial" w:hAnsi="Arial" w:cs="Arial"/>
                          <w:sz w:val="20"/>
                          <w:szCs w:val="20"/>
                        </w:rPr>
                      </w:pPr>
                      <w:r w:rsidRPr="00E70249">
                        <w:rPr>
                          <w:rFonts w:ascii="Arial" w:hAnsi="Arial" w:cs="Arial"/>
                          <w:sz w:val="20"/>
                          <w:szCs w:val="20"/>
                        </w:rPr>
                        <w:t>2 por conteúdo repetido.</w:t>
                      </w:r>
                    </w:p>
                    <w:p w:rsidR="00086657" w:rsidRPr="00E70249" w:rsidRDefault="00086657" w:rsidP="00086657">
                      <w:pPr>
                        <w:rPr>
                          <w:rFonts w:ascii="Arial" w:hAnsi="Arial" w:cs="Arial"/>
                          <w:sz w:val="20"/>
                          <w:szCs w:val="20"/>
                        </w:rPr>
                      </w:pPr>
                    </w:p>
                    <w:p w:rsidR="00086657" w:rsidRDefault="00086657" w:rsidP="00086657"/>
                  </w:txbxContent>
                </v:textbox>
              </v:shape>
            </w:pict>
          </mc:Fallback>
        </mc:AlternateContent>
      </w:r>
    </w:p>
    <w:p w:rsidR="00086657" w:rsidRDefault="00086657" w:rsidP="001157B1">
      <w:pPr>
        <w:spacing w:before="80"/>
        <w:rPr>
          <w:rFonts w:ascii="Arial" w:eastAsiaTheme="majorEastAsia" w:hAnsi="Arial" w:cs="Arial"/>
        </w:rPr>
      </w:pPr>
    </w:p>
    <w:p w:rsidR="00086657" w:rsidRDefault="00086657" w:rsidP="001157B1">
      <w:pPr>
        <w:spacing w:before="80"/>
        <w:rPr>
          <w:rFonts w:ascii="Arial" w:eastAsiaTheme="majorEastAsia" w:hAnsi="Arial" w:cs="Arial"/>
        </w:rPr>
      </w:pPr>
    </w:p>
    <w:p w:rsidR="00086657" w:rsidRDefault="00086657" w:rsidP="001157B1">
      <w:pPr>
        <w:spacing w:before="80"/>
        <w:jc w:val="both"/>
        <w:rPr>
          <w:rFonts w:ascii="Arial" w:eastAsiaTheme="majorEastAsia" w:hAnsi="Arial" w:cs="Arial"/>
        </w:rPr>
      </w:pPr>
    </w:p>
    <w:p w:rsidR="00086657" w:rsidRDefault="00086657" w:rsidP="001157B1">
      <w:pPr>
        <w:spacing w:before="80"/>
        <w:jc w:val="both"/>
        <w:rPr>
          <w:rFonts w:ascii="Arial" w:hAnsi="Arial" w:cs="Arial"/>
          <w:sz w:val="20"/>
          <w:szCs w:val="20"/>
        </w:rPr>
      </w:pPr>
    </w:p>
    <w:p w:rsidR="00D57C5D" w:rsidRPr="00F71F00" w:rsidRDefault="00086657" w:rsidP="001157B1">
      <w:pPr>
        <w:spacing w:before="80"/>
        <w:jc w:val="both"/>
        <w:rPr>
          <w:rFonts w:ascii="Arial" w:hAnsi="Arial" w:cs="Arial"/>
          <w:sz w:val="20"/>
          <w:szCs w:val="20"/>
        </w:rPr>
      </w:pPr>
      <w:r w:rsidRPr="00E625E6">
        <w:rPr>
          <w:rFonts w:ascii="Arial" w:hAnsi="Arial" w:cs="Arial"/>
          <w:b/>
          <w:sz w:val="20"/>
          <w:szCs w:val="20"/>
        </w:rPr>
        <w:t xml:space="preserve">Fig. 1 – </w:t>
      </w:r>
      <w:r w:rsidRPr="009A586F">
        <w:rPr>
          <w:rFonts w:ascii="Arial" w:hAnsi="Arial" w:cs="Arial"/>
          <w:sz w:val="20"/>
          <w:szCs w:val="20"/>
        </w:rPr>
        <w:t>Fluxograma dos estudos incluídos na revisão.</w:t>
      </w: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1157B1" w:rsidRDefault="001157B1" w:rsidP="001157B1">
      <w:pPr>
        <w:spacing w:before="80"/>
        <w:ind w:left="10"/>
        <w:rPr>
          <w:rFonts w:ascii="Arial" w:eastAsia="Arial" w:hAnsi="Arial" w:cs="Arial"/>
          <w:b/>
          <w:bCs/>
          <w:sz w:val="20"/>
          <w:szCs w:val="20"/>
        </w:rPr>
      </w:pPr>
    </w:p>
    <w:p w:rsidR="00086657" w:rsidRPr="002E7993" w:rsidRDefault="00086657" w:rsidP="001157B1">
      <w:pPr>
        <w:spacing w:before="80"/>
        <w:ind w:left="10"/>
        <w:rPr>
          <w:rFonts w:ascii="Arial" w:hAnsi="Arial" w:cs="Arial"/>
          <w:sz w:val="20"/>
          <w:szCs w:val="20"/>
        </w:rPr>
      </w:pPr>
      <w:r w:rsidRPr="002E7993">
        <w:rPr>
          <w:rFonts w:ascii="Arial" w:eastAsia="Arial" w:hAnsi="Arial" w:cs="Arial"/>
          <w:b/>
          <w:bCs/>
          <w:sz w:val="20"/>
          <w:szCs w:val="20"/>
        </w:rPr>
        <w:t xml:space="preserve">Tabela 1 - </w:t>
      </w:r>
      <w:r w:rsidRPr="002E7993">
        <w:rPr>
          <w:rFonts w:ascii="Arial" w:eastAsia="Arial" w:hAnsi="Arial" w:cs="Arial"/>
          <w:sz w:val="20"/>
          <w:szCs w:val="20"/>
        </w:rPr>
        <w:t xml:space="preserve">Classificação dos ensaios clínicos randomizados segundo a escala </w:t>
      </w:r>
      <w:proofErr w:type="spellStart"/>
      <w:r w:rsidRPr="002E7993">
        <w:rPr>
          <w:rFonts w:ascii="Arial" w:eastAsia="Arial" w:hAnsi="Arial" w:cs="Arial"/>
          <w:sz w:val="20"/>
          <w:szCs w:val="20"/>
        </w:rPr>
        <w:t>PEDro</w:t>
      </w:r>
      <w:proofErr w:type="spellEnd"/>
      <w:r w:rsidRPr="002E7993">
        <w:rPr>
          <w:rFonts w:ascii="Arial" w:eastAsia="Arial" w:hAnsi="Arial" w:cs="Arial"/>
          <w:sz w:val="20"/>
          <w:szCs w:val="20"/>
        </w:rPr>
        <w:t>.</w:t>
      </w:r>
    </w:p>
    <w:p w:rsidR="00086657" w:rsidRPr="002E7993" w:rsidRDefault="00086657" w:rsidP="001157B1">
      <w:pPr>
        <w:spacing w:before="80"/>
        <w:rPr>
          <w:rFonts w:ascii="Arial" w:hAnsi="Arial" w:cs="Arial"/>
          <w:sz w:val="20"/>
          <w:szCs w:val="20"/>
        </w:rPr>
      </w:pPr>
    </w:p>
    <w:tbl>
      <w:tblPr>
        <w:tblW w:w="10057" w:type="dxa"/>
        <w:tblInd w:w="-851" w:type="dxa"/>
        <w:tblLayout w:type="fixed"/>
        <w:tblCellMar>
          <w:left w:w="0" w:type="dxa"/>
          <w:right w:w="0" w:type="dxa"/>
        </w:tblCellMar>
        <w:tblLook w:val="04A0" w:firstRow="1" w:lastRow="0" w:firstColumn="1" w:lastColumn="0" w:noHBand="0" w:noVBand="1"/>
      </w:tblPr>
      <w:tblGrid>
        <w:gridCol w:w="456"/>
        <w:gridCol w:w="2075"/>
        <w:gridCol w:w="1072"/>
        <w:gridCol w:w="22"/>
        <w:gridCol w:w="1587"/>
        <w:gridCol w:w="1651"/>
        <w:gridCol w:w="1672"/>
        <w:gridCol w:w="1522"/>
      </w:tblGrid>
      <w:tr w:rsidR="00522ECF" w:rsidRPr="002E7993" w:rsidTr="00522ECF">
        <w:trPr>
          <w:trHeight w:val="189"/>
        </w:trPr>
        <w:tc>
          <w:tcPr>
            <w:tcW w:w="456" w:type="dxa"/>
            <w:tcBorders>
              <w:top w:val="single" w:sz="4" w:space="0" w:color="auto"/>
              <w:bottom w:val="single" w:sz="4" w:space="0" w:color="auto"/>
            </w:tcBorders>
            <w:vAlign w:val="bottom"/>
          </w:tcPr>
          <w:p w:rsidR="00086657" w:rsidRPr="002E7993" w:rsidRDefault="00086657" w:rsidP="001157B1">
            <w:pPr>
              <w:spacing w:before="80"/>
              <w:rPr>
                <w:rFonts w:ascii="Arial" w:hAnsi="Arial" w:cs="Arial"/>
                <w:sz w:val="20"/>
                <w:szCs w:val="20"/>
              </w:rPr>
            </w:pPr>
          </w:p>
        </w:tc>
        <w:tc>
          <w:tcPr>
            <w:tcW w:w="2075" w:type="dxa"/>
            <w:tcBorders>
              <w:top w:val="single" w:sz="4" w:space="0" w:color="auto"/>
              <w:bottom w:val="single" w:sz="4" w:space="0" w:color="auto"/>
            </w:tcBorders>
            <w:vAlign w:val="bottom"/>
          </w:tcPr>
          <w:p w:rsidR="00086657" w:rsidRPr="002E7993" w:rsidRDefault="00086657" w:rsidP="001157B1">
            <w:pPr>
              <w:spacing w:before="80"/>
              <w:ind w:left="20"/>
              <w:rPr>
                <w:rFonts w:ascii="Arial" w:hAnsi="Arial" w:cs="Arial"/>
                <w:sz w:val="20"/>
                <w:szCs w:val="20"/>
              </w:rPr>
            </w:pPr>
            <w:r w:rsidRPr="002E7993">
              <w:rPr>
                <w:rFonts w:ascii="Arial" w:eastAsia="Arial" w:hAnsi="Arial" w:cs="Arial"/>
                <w:b/>
                <w:bCs/>
                <w:sz w:val="20"/>
                <w:szCs w:val="20"/>
              </w:rPr>
              <w:t xml:space="preserve">Escala </w:t>
            </w:r>
            <w:proofErr w:type="spellStart"/>
            <w:r w:rsidRPr="002E7993">
              <w:rPr>
                <w:rFonts w:ascii="Arial" w:eastAsia="Arial" w:hAnsi="Arial" w:cs="Arial"/>
                <w:b/>
                <w:bCs/>
                <w:sz w:val="20"/>
                <w:szCs w:val="20"/>
              </w:rPr>
              <w:t>PEDro</w:t>
            </w:r>
            <w:proofErr w:type="spellEnd"/>
          </w:p>
        </w:tc>
        <w:tc>
          <w:tcPr>
            <w:tcW w:w="1093" w:type="dxa"/>
            <w:gridSpan w:val="2"/>
            <w:tcBorders>
              <w:top w:val="single" w:sz="4" w:space="0" w:color="auto"/>
              <w:bottom w:val="single" w:sz="4" w:space="0" w:color="auto"/>
            </w:tcBorders>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b/>
                <w:bCs/>
                <w:sz w:val="20"/>
                <w:szCs w:val="20"/>
              </w:rPr>
              <w:t>Estudos</w:t>
            </w:r>
          </w:p>
        </w:tc>
        <w:tc>
          <w:tcPr>
            <w:tcW w:w="1587" w:type="dxa"/>
            <w:tcBorders>
              <w:top w:val="single" w:sz="4" w:space="0" w:color="auto"/>
              <w:bottom w:val="single" w:sz="4" w:space="0" w:color="auto"/>
            </w:tcBorders>
            <w:vAlign w:val="bottom"/>
          </w:tcPr>
          <w:p w:rsidR="00086657" w:rsidRPr="002E7993" w:rsidRDefault="00086657" w:rsidP="001157B1">
            <w:pPr>
              <w:spacing w:before="80"/>
              <w:ind w:right="20"/>
              <w:jc w:val="center"/>
              <w:rPr>
                <w:rFonts w:ascii="Arial" w:hAnsi="Arial" w:cs="Arial"/>
                <w:sz w:val="20"/>
                <w:szCs w:val="20"/>
              </w:rPr>
            </w:pPr>
            <w:proofErr w:type="spellStart"/>
            <w:r w:rsidRPr="002E7993">
              <w:rPr>
                <w:rFonts w:ascii="Arial" w:eastAsia="Arial" w:hAnsi="Arial" w:cs="Arial"/>
                <w:b/>
                <w:bCs/>
                <w:w w:val="86"/>
                <w:sz w:val="20"/>
                <w:szCs w:val="20"/>
              </w:rPr>
              <w:t>Takashi</w:t>
            </w:r>
            <w:proofErr w:type="spellEnd"/>
            <w:r w:rsidRPr="002E7993">
              <w:rPr>
                <w:rFonts w:ascii="Arial" w:eastAsia="Arial" w:hAnsi="Arial" w:cs="Arial"/>
                <w:b/>
                <w:bCs/>
                <w:w w:val="86"/>
                <w:sz w:val="20"/>
                <w:szCs w:val="20"/>
              </w:rPr>
              <w:t xml:space="preserve"> et al.(19)</w:t>
            </w:r>
          </w:p>
        </w:tc>
        <w:tc>
          <w:tcPr>
            <w:tcW w:w="1651" w:type="dxa"/>
            <w:tcBorders>
              <w:top w:val="single" w:sz="4" w:space="0" w:color="auto"/>
              <w:bottom w:val="single" w:sz="4" w:space="0" w:color="auto"/>
            </w:tcBorders>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b/>
                <w:bCs/>
                <w:w w:val="88"/>
                <w:sz w:val="20"/>
                <w:szCs w:val="20"/>
              </w:rPr>
              <w:t>Suellen et al.(20)</w:t>
            </w:r>
          </w:p>
        </w:tc>
        <w:tc>
          <w:tcPr>
            <w:tcW w:w="1672" w:type="dxa"/>
            <w:tcBorders>
              <w:top w:val="single" w:sz="4" w:space="0" w:color="auto"/>
              <w:bottom w:val="single" w:sz="4" w:space="0" w:color="auto"/>
            </w:tcBorders>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b/>
                <w:bCs/>
                <w:w w:val="85"/>
                <w:sz w:val="20"/>
                <w:szCs w:val="20"/>
              </w:rPr>
              <w:t>David et al.(21)</w:t>
            </w:r>
          </w:p>
        </w:tc>
        <w:tc>
          <w:tcPr>
            <w:tcW w:w="1522" w:type="dxa"/>
            <w:tcBorders>
              <w:top w:val="single" w:sz="4" w:space="0" w:color="auto"/>
              <w:bottom w:val="single" w:sz="4" w:space="0" w:color="auto"/>
            </w:tcBorders>
            <w:vAlign w:val="bottom"/>
          </w:tcPr>
          <w:p w:rsidR="00086657" w:rsidRPr="002E7993" w:rsidRDefault="00086657" w:rsidP="001157B1">
            <w:pPr>
              <w:spacing w:before="80"/>
              <w:ind w:left="40"/>
              <w:jc w:val="center"/>
              <w:rPr>
                <w:rFonts w:ascii="Arial" w:hAnsi="Arial" w:cs="Arial"/>
                <w:sz w:val="20"/>
                <w:szCs w:val="20"/>
              </w:rPr>
            </w:pPr>
            <w:r w:rsidRPr="002E7993">
              <w:rPr>
                <w:rFonts w:ascii="Arial" w:eastAsia="Arial" w:hAnsi="Arial" w:cs="Arial"/>
                <w:b/>
                <w:bCs/>
                <w:w w:val="84"/>
                <w:sz w:val="20"/>
                <w:szCs w:val="20"/>
              </w:rPr>
              <w:t>Rafael et al.(22)</w:t>
            </w:r>
          </w:p>
        </w:tc>
      </w:tr>
      <w:tr w:rsidR="00086657" w:rsidRPr="002E7993" w:rsidTr="00522ECF">
        <w:trPr>
          <w:trHeight w:val="467"/>
        </w:trPr>
        <w:tc>
          <w:tcPr>
            <w:tcW w:w="456" w:type="dxa"/>
            <w:tcBorders>
              <w:top w:val="single" w:sz="4" w:space="0" w:color="auto"/>
            </w:tcBorders>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1.</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sz w:val="20"/>
                <w:szCs w:val="20"/>
              </w:rPr>
              <w:t>Critérios de elegibilidade</w:t>
            </w:r>
          </w:p>
        </w:tc>
        <w:tc>
          <w:tcPr>
            <w:tcW w:w="1587" w:type="dxa"/>
            <w:tcBorders>
              <w:top w:val="single" w:sz="4" w:space="0" w:color="auto"/>
            </w:tcBorders>
            <w:vAlign w:val="bottom"/>
          </w:tcPr>
          <w:p w:rsidR="00086657" w:rsidRPr="002E7993" w:rsidRDefault="00086657" w:rsidP="001157B1">
            <w:pPr>
              <w:spacing w:before="80"/>
              <w:ind w:right="20"/>
              <w:jc w:val="center"/>
              <w:rPr>
                <w:rFonts w:ascii="Arial" w:hAnsi="Arial" w:cs="Arial"/>
                <w:sz w:val="20"/>
                <w:szCs w:val="20"/>
              </w:rPr>
            </w:pPr>
            <w:r w:rsidRPr="002E7993">
              <w:rPr>
                <w:rFonts w:ascii="Arial" w:eastAsia="Arial" w:hAnsi="Arial" w:cs="Arial"/>
                <w:w w:val="79"/>
                <w:sz w:val="20"/>
                <w:szCs w:val="20"/>
              </w:rPr>
              <w:t>Sim</w:t>
            </w:r>
          </w:p>
        </w:tc>
        <w:tc>
          <w:tcPr>
            <w:tcW w:w="1651" w:type="dxa"/>
            <w:tcBorders>
              <w:top w:val="single" w:sz="4" w:space="0" w:color="auto"/>
            </w:tcBorders>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9"/>
                <w:sz w:val="20"/>
                <w:szCs w:val="20"/>
              </w:rPr>
              <w:t>Sim</w:t>
            </w:r>
          </w:p>
        </w:tc>
        <w:tc>
          <w:tcPr>
            <w:tcW w:w="1672" w:type="dxa"/>
            <w:tcBorders>
              <w:top w:val="single" w:sz="4" w:space="0" w:color="auto"/>
            </w:tcBorders>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9"/>
                <w:sz w:val="20"/>
                <w:szCs w:val="20"/>
              </w:rPr>
              <w:t>Sim</w:t>
            </w:r>
          </w:p>
        </w:tc>
        <w:tc>
          <w:tcPr>
            <w:tcW w:w="1522" w:type="dxa"/>
            <w:tcBorders>
              <w:top w:val="single" w:sz="4" w:space="0" w:color="auto"/>
            </w:tcBorders>
            <w:vAlign w:val="bottom"/>
          </w:tcPr>
          <w:p w:rsidR="00086657" w:rsidRPr="002E7993" w:rsidRDefault="00086657" w:rsidP="001157B1">
            <w:pPr>
              <w:spacing w:before="80"/>
              <w:ind w:left="40"/>
              <w:jc w:val="center"/>
              <w:rPr>
                <w:rFonts w:ascii="Arial" w:hAnsi="Arial" w:cs="Arial"/>
                <w:sz w:val="20"/>
                <w:szCs w:val="20"/>
              </w:rPr>
            </w:pPr>
            <w:r w:rsidRPr="002E7993">
              <w:rPr>
                <w:rFonts w:ascii="Arial" w:eastAsia="Arial" w:hAnsi="Arial" w:cs="Arial"/>
                <w:w w:val="79"/>
                <w:sz w:val="20"/>
                <w:szCs w:val="20"/>
              </w:rPr>
              <w:t>Sim</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2.</w:t>
            </w:r>
          </w:p>
        </w:tc>
        <w:tc>
          <w:tcPr>
            <w:tcW w:w="3147" w:type="dxa"/>
            <w:gridSpan w:val="2"/>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w w:val="84"/>
                <w:sz w:val="20"/>
                <w:szCs w:val="20"/>
              </w:rPr>
              <w:t>Distribuição aleatória</w:t>
            </w:r>
          </w:p>
        </w:tc>
        <w:tc>
          <w:tcPr>
            <w:tcW w:w="21" w:type="dxa"/>
            <w:vAlign w:val="bottom"/>
          </w:tcPr>
          <w:p w:rsidR="00086657" w:rsidRPr="002E7993" w:rsidRDefault="00086657" w:rsidP="001157B1">
            <w:pPr>
              <w:spacing w:before="80"/>
              <w:rPr>
                <w:rFonts w:ascii="Arial" w:hAnsi="Arial" w:cs="Arial"/>
                <w:sz w:val="20"/>
                <w:szCs w:val="20"/>
              </w:rPr>
            </w:pP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1</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1</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1</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3.</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sz w:val="20"/>
                <w:szCs w:val="20"/>
              </w:rPr>
              <w:t>Alocação secreta dos sujeitos</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0</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0</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0</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0</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4.</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w w:val="91"/>
                <w:sz w:val="20"/>
                <w:szCs w:val="20"/>
              </w:rPr>
              <w:t>Semelhança inicial entre os grupos</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1</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1</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0</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5.</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sz w:val="20"/>
                <w:szCs w:val="20"/>
              </w:rPr>
              <w:t>"Cegamento" dos sujeitos</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1</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1</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0</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6.</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sz w:val="20"/>
                <w:szCs w:val="20"/>
              </w:rPr>
              <w:t>"Cegamento" dos terapeutas</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0</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0</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0</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7.</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sz w:val="20"/>
                <w:szCs w:val="20"/>
              </w:rPr>
              <w:t>"Cegamento" dos avaliadores</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0</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0</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0</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0</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8.</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sz w:val="20"/>
                <w:szCs w:val="20"/>
              </w:rPr>
              <w:t>Acompanhamento adequado</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1</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1</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1</w:t>
            </w:r>
          </w:p>
        </w:tc>
      </w:tr>
      <w:tr w:rsidR="00086657" w:rsidRPr="002E7993" w:rsidTr="00522ECF">
        <w:trPr>
          <w:trHeight w:val="273"/>
        </w:trPr>
        <w:tc>
          <w:tcPr>
            <w:tcW w:w="456" w:type="dxa"/>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73"/>
                <w:sz w:val="20"/>
                <w:szCs w:val="20"/>
              </w:rPr>
              <w:t>9.</w:t>
            </w:r>
          </w:p>
        </w:tc>
        <w:tc>
          <w:tcPr>
            <w:tcW w:w="3169" w:type="dxa"/>
            <w:gridSpan w:val="3"/>
            <w:vAlign w:val="bottom"/>
          </w:tcPr>
          <w:p w:rsidR="00086657" w:rsidRPr="002E7993" w:rsidRDefault="00086657" w:rsidP="001157B1">
            <w:pPr>
              <w:spacing w:before="80"/>
              <w:ind w:left="40"/>
              <w:rPr>
                <w:rFonts w:ascii="Arial" w:hAnsi="Arial" w:cs="Arial"/>
                <w:sz w:val="20"/>
                <w:szCs w:val="20"/>
              </w:rPr>
            </w:pPr>
            <w:r w:rsidRPr="002E7993">
              <w:rPr>
                <w:rFonts w:ascii="Arial" w:eastAsia="Arial" w:hAnsi="Arial" w:cs="Arial"/>
                <w:w w:val="93"/>
                <w:sz w:val="20"/>
                <w:szCs w:val="20"/>
              </w:rPr>
              <w:t>Análise da intenção de tratamento</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1</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1</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1</w:t>
            </w:r>
          </w:p>
        </w:tc>
      </w:tr>
      <w:tr w:rsidR="00086657" w:rsidRPr="002E7993" w:rsidTr="00522ECF">
        <w:trPr>
          <w:trHeight w:val="273"/>
        </w:trPr>
        <w:tc>
          <w:tcPr>
            <w:tcW w:w="3624" w:type="dxa"/>
            <w:gridSpan w:val="4"/>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sz w:val="20"/>
                <w:szCs w:val="20"/>
              </w:rPr>
              <w:t>10. Comparações intergrupos</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1</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1</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1</w:t>
            </w:r>
          </w:p>
        </w:tc>
      </w:tr>
      <w:tr w:rsidR="00086657" w:rsidRPr="002E7993" w:rsidTr="00522ECF">
        <w:trPr>
          <w:trHeight w:val="273"/>
        </w:trPr>
        <w:tc>
          <w:tcPr>
            <w:tcW w:w="3624" w:type="dxa"/>
            <w:gridSpan w:val="4"/>
            <w:vAlign w:val="bottom"/>
          </w:tcPr>
          <w:p w:rsidR="00086657" w:rsidRPr="002E7993" w:rsidRDefault="00086657" w:rsidP="001157B1">
            <w:pPr>
              <w:spacing w:before="80"/>
              <w:ind w:left="80"/>
              <w:rPr>
                <w:rFonts w:ascii="Arial" w:hAnsi="Arial" w:cs="Arial"/>
                <w:sz w:val="20"/>
                <w:szCs w:val="20"/>
              </w:rPr>
            </w:pPr>
            <w:r w:rsidRPr="002E7993">
              <w:rPr>
                <w:rFonts w:ascii="Arial" w:eastAsia="Arial" w:hAnsi="Arial" w:cs="Arial"/>
                <w:w w:val="85"/>
                <w:sz w:val="20"/>
                <w:szCs w:val="20"/>
              </w:rPr>
              <w:t>11. Medidas de precisão e variabilidade</w:t>
            </w:r>
          </w:p>
        </w:tc>
        <w:tc>
          <w:tcPr>
            <w:tcW w:w="1587" w:type="dxa"/>
            <w:vAlign w:val="bottom"/>
          </w:tcPr>
          <w:p w:rsidR="00086657" w:rsidRPr="002E7993" w:rsidRDefault="00086657" w:rsidP="001157B1">
            <w:pPr>
              <w:spacing w:before="80"/>
              <w:ind w:right="40"/>
              <w:jc w:val="center"/>
              <w:rPr>
                <w:rFonts w:ascii="Arial" w:hAnsi="Arial" w:cs="Arial"/>
                <w:sz w:val="20"/>
                <w:szCs w:val="20"/>
              </w:rPr>
            </w:pPr>
            <w:r w:rsidRPr="002E7993">
              <w:rPr>
                <w:rFonts w:ascii="Arial" w:eastAsia="Arial" w:hAnsi="Arial" w:cs="Arial"/>
                <w:w w:val="89"/>
                <w:sz w:val="20"/>
                <w:szCs w:val="20"/>
              </w:rPr>
              <w:t>1</w:t>
            </w:r>
          </w:p>
        </w:tc>
        <w:tc>
          <w:tcPr>
            <w:tcW w:w="1651"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1</w:t>
            </w:r>
          </w:p>
        </w:tc>
        <w:tc>
          <w:tcPr>
            <w:tcW w:w="1672" w:type="dxa"/>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71"/>
                <w:sz w:val="20"/>
                <w:szCs w:val="20"/>
              </w:rPr>
              <w:t>1</w:t>
            </w:r>
          </w:p>
        </w:tc>
        <w:tc>
          <w:tcPr>
            <w:tcW w:w="1522" w:type="dxa"/>
            <w:vAlign w:val="bottom"/>
          </w:tcPr>
          <w:p w:rsidR="00086657" w:rsidRPr="002E7993" w:rsidRDefault="00086657" w:rsidP="001157B1">
            <w:pPr>
              <w:spacing w:before="80"/>
              <w:ind w:left="20"/>
              <w:jc w:val="center"/>
              <w:rPr>
                <w:rFonts w:ascii="Arial" w:hAnsi="Arial" w:cs="Arial"/>
                <w:sz w:val="20"/>
                <w:szCs w:val="20"/>
              </w:rPr>
            </w:pPr>
            <w:r w:rsidRPr="002E7993">
              <w:rPr>
                <w:rFonts w:ascii="Arial" w:eastAsia="Arial" w:hAnsi="Arial" w:cs="Arial"/>
                <w:w w:val="89"/>
                <w:sz w:val="20"/>
                <w:szCs w:val="20"/>
              </w:rPr>
              <w:t>1</w:t>
            </w:r>
          </w:p>
        </w:tc>
      </w:tr>
      <w:tr w:rsidR="00086657" w:rsidRPr="002E7993" w:rsidTr="00522ECF">
        <w:trPr>
          <w:trHeight w:val="273"/>
        </w:trPr>
        <w:tc>
          <w:tcPr>
            <w:tcW w:w="2531" w:type="dxa"/>
            <w:gridSpan w:val="2"/>
            <w:tcBorders>
              <w:bottom w:val="single" w:sz="4" w:space="0" w:color="auto"/>
            </w:tcBorders>
            <w:vAlign w:val="bottom"/>
          </w:tcPr>
          <w:p w:rsidR="00086657" w:rsidRPr="002E7993" w:rsidRDefault="00522ECF" w:rsidP="001157B1">
            <w:pPr>
              <w:spacing w:before="80"/>
              <w:ind w:left="80"/>
              <w:rPr>
                <w:rFonts w:ascii="Arial" w:hAnsi="Arial" w:cs="Arial"/>
                <w:sz w:val="20"/>
                <w:szCs w:val="20"/>
              </w:rPr>
            </w:pPr>
            <w:r>
              <w:rPr>
                <w:rFonts w:ascii="Arial" w:hAnsi="Arial" w:cs="Arial"/>
                <w:noProof/>
                <w:sz w:val="20"/>
                <w:szCs w:val="20"/>
                <w:lang w:eastAsia="pt-BR"/>
              </w:rPr>
              <mc:AlternateContent>
                <mc:Choice Requires="wps">
                  <w:drawing>
                    <wp:anchor distT="4294967294" distB="4294967294" distL="114300" distR="114300" simplePos="0" relativeHeight="251674624" behindDoc="1" locked="0" layoutInCell="0" allowOverlap="1" wp14:anchorId="469F1090" wp14:editId="5F4B4F62">
                      <wp:simplePos x="0" y="0"/>
                      <wp:positionH relativeFrom="column">
                        <wp:posOffset>-184785</wp:posOffset>
                      </wp:positionH>
                      <wp:positionV relativeFrom="paragraph">
                        <wp:posOffset>199390</wp:posOffset>
                      </wp:positionV>
                      <wp:extent cx="5648325" cy="0"/>
                      <wp:effectExtent l="0" t="0" r="9525" b="19050"/>
                      <wp:wrapNone/>
                      <wp:docPr id="7"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solidFill>
                                <a:srgbClr val="FFFFFF"/>
                              </a:solidFill>
                              <a:ln w="3175">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7CAD9774" id="Shape 5"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4.55pt,15.7pt" to="430.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" o:allowincell="f" filled="t" strokeweight=".25pt">
                      <v:stroke joinstyle="miter"/>
                      <o:lock v:ext="edit" shapetype="f"/>
                    </v:line>
                  </w:pict>
                </mc:Fallback>
              </mc:AlternateContent>
            </w:r>
            <w:r w:rsidR="00086657" w:rsidRPr="002E7993">
              <w:rPr>
                <w:rFonts w:ascii="Arial" w:eastAsia="Arial" w:hAnsi="Arial" w:cs="Arial"/>
                <w:sz w:val="20"/>
                <w:szCs w:val="20"/>
              </w:rPr>
              <w:t>Escore total</w:t>
            </w:r>
          </w:p>
        </w:tc>
        <w:tc>
          <w:tcPr>
            <w:tcW w:w="1093" w:type="dxa"/>
            <w:gridSpan w:val="2"/>
            <w:tcBorders>
              <w:bottom w:val="single" w:sz="4" w:space="0" w:color="auto"/>
            </w:tcBorders>
            <w:vAlign w:val="bottom"/>
          </w:tcPr>
          <w:p w:rsidR="00086657" w:rsidRPr="002E7993" w:rsidRDefault="00086657" w:rsidP="001157B1">
            <w:pPr>
              <w:spacing w:before="80"/>
              <w:rPr>
                <w:rFonts w:ascii="Arial" w:hAnsi="Arial" w:cs="Arial"/>
                <w:sz w:val="20"/>
                <w:szCs w:val="20"/>
              </w:rPr>
            </w:pPr>
          </w:p>
        </w:tc>
        <w:tc>
          <w:tcPr>
            <w:tcW w:w="1587" w:type="dxa"/>
            <w:tcBorders>
              <w:bottom w:val="single" w:sz="4" w:space="0" w:color="auto"/>
            </w:tcBorders>
            <w:vAlign w:val="bottom"/>
          </w:tcPr>
          <w:p w:rsidR="00086657" w:rsidRPr="002E7993" w:rsidRDefault="00086657" w:rsidP="001157B1">
            <w:pPr>
              <w:spacing w:before="80"/>
              <w:ind w:right="20"/>
              <w:jc w:val="center"/>
              <w:rPr>
                <w:rFonts w:ascii="Arial" w:hAnsi="Arial" w:cs="Arial"/>
                <w:sz w:val="20"/>
                <w:szCs w:val="20"/>
              </w:rPr>
            </w:pPr>
            <w:r w:rsidRPr="002E7993">
              <w:rPr>
                <w:rFonts w:ascii="Arial" w:eastAsia="Arial" w:hAnsi="Arial" w:cs="Arial"/>
                <w:w w:val="83"/>
                <w:sz w:val="20"/>
                <w:szCs w:val="20"/>
              </w:rPr>
              <w:t>7/10</w:t>
            </w:r>
          </w:p>
        </w:tc>
        <w:tc>
          <w:tcPr>
            <w:tcW w:w="1651" w:type="dxa"/>
            <w:tcBorders>
              <w:bottom w:val="single" w:sz="4" w:space="0" w:color="auto"/>
            </w:tcBorders>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9"/>
                <w:sz w:val="20"/>
                <w:szCs w:val="20"/>
              </w:rPr>
              <w:t>8/10</w:t>
            </w:r>
          </w:p>
        </w:tc>
        <w:tc>
          <w:tcPr>
            <w:tcW w:w="1672" w:type="dxa"/>
            <w:tcBorders>
              <w:bottom w:val="single" w:sz="4" w:space="0" w:color="auto"/>
            </w:tcBorders>
            <w:vAlign w:val="bottom"/>
          </w:tcPr>
          <w:p w:rsidR="00086657" w:rsidRPr="002E7993" w:rsidRDefault="00086657" w:rsidP="001157B1">
            <w:pPr>
              <w:spacing w:before="80"/>
              <w:jc w:val="center"/>
              <w:rPr>
                <w:rFonts w:ascii="Arial" w:hAnsi="Arial" w:cs="Arial"/>
                <w:sz w:val="20"/>
                <w:szCs w:val="20"/>
              </w:rPr>
            </w:pPr>
            <w:r w:rsidRPr="002E7993">
              <w:rPr>
                <w:rFonts w:ascii="Arial" w:eastAsia="Arial" w:hAnsi="Arial" w:cs="Arial"/>
                <w:w w:val="83"/>
                <w:sz w:val="20"/>
                <w:szCs w:val="20"/>
              </w:rPr>
              <w:t>7/10</w:t>
            </w:r>
          </w:p>
        </w:tc>
        <w:tc>
          <w:tcPr>
            <w:tcW w:w="1522" w:type="dxa"/>
            <w:tcBorders>
              <w:bottom w:val="single" w:sz="4" w:space="0" w:color="auto"/>
            </w:tcBorders>
            <w:vAlign w:val="bottom"/>
          </w:tcPr>
          <w:p w:rsidR="00086657" w:rsidRPr="002E7993" w:rsidRDefault="00086657" w:rsidP="001157B1">
            <w:pPr>
              <w:spacing w:before="80"/>
              <w:ind w:left="40"/>
              <w:jc w:val="center"/>
              <w:rPr>
                <w:rFonts w:ascii="Arial" w:hAnsi="Arial" w:cs="Arial"/>
                <w:sz w:val="20"/>
                <w:szCs w:val="20"/>
              </w:rPr>
            </w:pPr>
            <w:r w:rsidRPr="002E7993">
              <w:rPr>
                <w:rFonts w:ascii="Arial" w:eastAsia="Arial" w:hAnsi="Arial" w:cs="Arial"/>
                <w:w w:val="83"/>
                <w:sz w:val="20"/>
                <w:szCs w:val="20"/>
              </w:rPr>
              <w:t>5/10</w:t>
            </w:r>
          </w:p>
        </w:tc>
      </w:tr>
    </w:tbl>
    <w:p w:rsidR="00086657" w:rsidRDefault="00086657" w:rsidP="001157B1">
      <w:pPr>
        <w:spacing w:before="80"/>
        <w:jc w:val="both"/>
        <w:rPr>
          <w:rFonts w:ascii="Arial" w:hAnsi="Arial" w:cs="Arial"/>
        </w:rPr>
      </w:pPr>
      <w:r w:rsidRPr="002E7993">
        <w:rPr>
          <w:rFonts w:ascii="Arial" w:eastAsia="Arial" w:hAnsi="Arial" w:cs="Arial"/>
          <w:sz w:val="20"/>
          <w:szCs w:val="20"/>
        </w:rPr>
        <w:t xml:space="preserve">1 para itens contemplados e 0 para itens não contemplados. Fonte dos dados: </w:t>
      </w:r>
      <w:hyperlink r:id="rId8" w:history="1">
        <w:r w:rsidRPr="008F5743">
          <w:rPr>
            <w:rStyle w:val="Hyperlink"/>
            <w:rFonts w:ascii="Arial" w:eastAsia="Arial" w:hAnsi="Arial" w:cs="Arial"/>
            <w:sz w:val="20"/>
            <w:szCs w:val="20"/>
          </w:rPr>
          <w:t>http://www.pedro.org.au</w:t>
        </w:r>
      </w:hyperlink>
    </w:p>
    <w:p w:rsidR="00086657" w:rsidRDefault="00086657" w:rsidP="001157B1">
      <w:pPr>
        <w:spacing w:before="80"/>
        <w:jc w:val="both"/>
        <w:rPr>
          <w:rFonts w:ascii="Arial" w:eastAsia="Arial" w:hAnsi="Arial" w:cs="Arial"/>
          <w:sz w:val="20"/>
          <w:szCs w:val="20"/>
        </w:rPr>
      </w:pPr>
    </w:p>
    <w:p w:rsidR="00D57C5D" w:rsidRDefault="00D57C5D" w:rsidP="001157B1">
      <w:pPr>
        <w:spacing w:before="80"/>
        <w:jc w:val="both"/>
        <w:rPr>
          <w:rFonts w:ascii="Arial" w:eastAsia="Arial" w:hAnsi="Arial" w:cs="Arial"/>
          <w:sz w:val="20"/>
          <w:szCs w:val="20"/>
        </w:rPr>
      </w:pPr>
    </w:p>
    <w:p w:rsidR="00956616" w:rsidRDefault="00D57C5D" w:rsidP="001157B1">
      <w:pPr>
        <w:spacing w:before="80"/>
        <w:jc w:val="both"/>
        <w:rPr>
          <w:rFonts w:ascii="Arial" w:eastAsia="Arial" w:hAnsi="Arial" w:cs="Arial"/>
          <w:sz w:val="20"/>
          <w:szCs w:val="20"/>
        </w:rPr>
        <w:sectPr w:rsidR="00956616" w:rsidSect="00A02D62">
          <w:headerReference w:type="default" r:id="rId9"/>
          <w:footerReference w:type="default" r:id="rId10"/>
          <w:pgSz w:w="11907" w:h="16838" w:code="9"/>
          <w:pgMar w:top="2268" w:right="1134" w:bottom="1134" w:left="1134" w:header="709" w:footer="709" w:gutter="0"/>
          <w:cols w:space="708"/>
          <w:docGrid w:linePitch="360"/>
        </w:sectPr>
      </w:pPr>
      <w:r>
        <w:rPr>
          <w:rFonts w:ascii="Arial" w:eastAsia="Arial" w:hAnsi="Arial" w:cs="Arial"/>
          <w:sz w:val="20"/>
          <w:szCs w:val="20"/>
        </w:rPr>
        <w:br w:type="page"/>
      </w:r>
    </w:p>
    <w:p w:rsidR="00D57C5D" w:rsidRPr="009E3AC9" w:rsidRDefault="00FA3246" w:rsidP="001157B1">
      <w:pPr>
        <w:spacing w:before="80"/>
        <w:jc w:val="both"/>
        <w:rPr>
          <w:rFonts w:ascii="Arial" w:hAnsi="Arial" w:cs="Arial"/>
          <w:b/>
          <w:bCs/>
          <w:sz w:val="20"/>
          <w:szCs w:val="20"/>
        </w:rPr>
      </w:pPr>
      <w:r w:rsidRPr="004E1C76">
        <w:rPr>
          <w:rFonts w:ascii="Arial" w:hAnsi="Arial" w:cs="Arial"/>
          <w:b/>
          <w:bCs/>
          <w:sz w:val="20"/>
          <w:szCs w:val="20"/>
        </w:rPr>
        <w:t xml:space="preserve">Tabela2- </w:t>
      </w:r>
      <w:r w:rsidRPr="004E1C76">
        <w:rPr>
          <w:rFonts w:ascii="Arial" w:hAnsi="Arial" w:cs="Arial"/>
          <w:bCs/>
          <w:sz w:val="20"/>
          <w:szCs w:val="20"/>
        </w:rPr>
        <w:t>Características dos estudos incluídos.</w:t>
      </w:r>
    </w:p>
    <w:tbl>
      <w:tblPr>
        <w:tblpPr w:leftFromText="141" w:rightFromText="141" w:vertAnchor="page" w:horzAnchor="margin" w:tblpXSpec="center" w:tblpY="2206"/>
        <w:tblW w:w="15128" w:type="dxa"/>
        <w:tblCellMar>
          <w:left w:w="70" w:type="dxa"/>
          <w:right w:w="70" w:type="dxa"/>
        </w:tblCellMar>
        <w:tblLook w:val="04A0" w:firstRow="1" w:lastRow="0" w:firstColumn="1" w:lastColumn="0" w:noHBand="0" w:noVBand="1"/>
      </w:tblPr>
      <w:tblGrid>
        <w:gridCol w:w="10"/>
        <w:gridCol w:w="841"/>
        <w:gridCol w:w="789"/>
        <w:gridCol w:w="972"/>
        <w:gridCol w:w="1254"/>
        <w:gridCol w:w="1920"/>
        <w:gridCol w:w="3304"/>
        <w:gridCol w:w="778"/>
        <w:gridCol w:w="1305"/>
        <w:gridCol w:w="3955"/>
      </w:tblGrid>
      <w:tr w:rsidR="009E3AC9" w:rsidRPr="002E7993" w:rsidTr="00FA3246">
        <w:trPr>
          <w:gridBefore w:val="1"/>
          <w:wBefore w:w="10" w:type="dxa"/>
          <w:trHeight w:val="328"/>
        </w:trPr>
        <w:tc>
          <w:tcPr>
            <w:tcW w:w="841"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Autor</w:t>
            </w:r>
          </w:p>
        </w:tc>
        <w:tc>
          <w:tcPr>
            <w:tcW w:w="789"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Ano</w:t>
            </w:r>
          </w:p>
        </w:tc>
        <w:tc>
          <w:tcPr>
            <w:tcW w:w="972"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rPr>
                <w:rFonts w:ascii="Arial" w:hAnsi="Arial" w:cs="Arial"/>
                <w:color w:val="000000"/>
                <w:sz w:val="20"/>
                <w:szCs w:val="20"/>
              </w:rPr>
            </w:pPr>
            <w:r w:rsidRPr="002E7993">
              <w:rPr>
                <w:rFonts w:ascii="Arial" w:hAnsi="Arial" w:cs="Arial"/>
                <w:color w:val="000000"/>
                <w:sz w:val="20"/>
                <w:szCs w:val="20"/>
              </w:rPr>
              <w:t>Desenho</w:t>
            </w:r>
          </w:p>
        </w:tc>
        <w:tc>
          <w:tcPr>
            <w:tcW w:w="1254"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População</w:t>
            </w:r>
          </w:p>
        </w:tc>
        <w:tc>
          <w:tcPr>
            <w:tcW w:w="1920"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Intervenção</w:t>
            </w:r>
          </w:p>
        </w:tc>
        <w:tc>
          <w:tcPr>
            <w:tcW w:w="3304"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Resultados</w:t>
            </w:r>
          </w:p>
        </w:tc>
        <w:tc>
          <w:tcPr>
            <w:tcW w:w="778"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Pedro</w:t>
            </w:r>
          </w:p>
        </w:tc>
        <w:tc>
          <w:tcPr>
            <w:tcW w:w="1305"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 xml:space="preserve">Local </w:t>
            </w:r>
          </w:p>
        </w:tc>
        <w:tc>
          <w:tcPr>
            <w:tcW w:w="3955" w:type="dxa"/>
            <w:tcBorders>
              <w:top w:val="single" w:sz="4" w:space="0" w:color="auto"/>
              <w:bottom w:val="single" w:sz="4" w:space="0" w:color="auto"/>
            </w:tcBorders>
            <w:shd w:val="clear" w:color="auto" w:fill="auto"/>
            <w:noWrap/>
            <w:vAlign w:val="bottom"/>
            <w:hideMark/>
          </w:tcPr>
          <w:p w:rsidR="009E3AC9" w:rsidRPr="002E7993" w:rsidRDefault="009E3AC9" w:rsidP="001157B1">
            <w:pPr>
              <w:spacing w:before="80"/>
              <w:jc w:val="center"/>
              <w:rPr>
                <w:rFonts w:ascii="Arial" w:hAnsi="Arial" w:cs="Arial"/>
                <w:color w:val="000000"/>
                <w:sz w:val="20"/>
                <w:szCs w:val="20"/>
              </w:rPr>
            </w:pPr>
            <w:r w:rsidRPr="002E7993">
              <w:rPr>
                <w:rFonts w:ascii="Arial" w:hAnsi="Arial" w:cs="Arial"/>
                <w:color w:val="000000"/>
                <w:sz w:val="20"/>
                <w:szCs w:val="20"/>
              </w:rPr>
              <w:t>Objetivos</w:t>
            </w:r>
          </w:p>
        </w:tc>
      </w:tr>
      <w:tr w:rsidR="009E3AC9" w:rsidRPr="002E7993" w:rsidTr="00FA3246">
        <w:trPr>
          <w:gridBefore w:val="1"/>
          <w:wBefore w:w="10" w:type="dxa"/>
          <w:trHeight w:val="625"/>
        </w:trPr>
        <w:tc>
          <w:tcPr>
            <w:tcW w:w="841"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proofErr w:type="spellStart"/>
            <w:r>
              <w:rPr>
                <w:rFonts w:ascii="Arial" w:hAnsi="Arial" w:cs="Arial"/>
                <w:color w:val="000000"/>
                <w:sz w:val="20"/>
                <w:szCs w:val="20"/>
              </w:rPr>
              <w:t>Takashi</w:t>
            </w:r>
            <w:proofErr w:type="spellEnd"/>
            <w:r>
              <w:rPr>
                <w:rFonts w:ascii="Arial" w:hAnsi="Arial" w:cs="Arial"/>
                <w:color w:val="000000"/>
                <w:sz w:val="20"/>
                <w:szCs w:val="20"/>
              </w:rPr>
              <w:t xml:space="preserve"> et a</w:t>
            </w:r>
            <w:r w:rsidRPr="002E7993">
              <w:rPr>
                <w:rFonts w:ascii="Arial" w:hAnsi="Arial" w:cs="Arial"/>
                <w:color w:val="000000"/>
                <w:sz w:val="20"/>
                <w:szCs w:val="20"/>
              </w:rPr>
              <w:t>l</w:t>
            </w:r>
            <w:r>
              <w:rPr>
                <w:rFonts w:ascii="Arial" w:hAnsi="Arial" w:cs="Arial"/>
                <w:color w:val="000000"/>
                <w:sz w:val="20"/>
                <w:szCs w:val="20"/>
              </w:rPr>
              <w:t>.</w:t>
            </w:r>
          </w:p>
        </w:tc>
        <w:tc>
          <w:tcPr>
            <w:tcW w:w="789"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2017</w:t>
            </w:r>
          </w:p>
        </w:tc>
        <w:tc>
          <w:tcPr>
            <w:tcW w:w="972"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E.C.R</w:t>
            </w:r>
          </w:p>
        </w:tc>
        <w:tc>
          <w:tcPr>
            <w:tcW w:w="1254"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20 indivíduos</w:t>
            </w:r>
          </w:p>
        </w:tc>
        <w:tc>
          <w:tcPr>
            <w:tcW w:w="1920"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TCI por restrição com e sem </w:t>
            </w:r>
            <w:proofErr w:type="spellStart"/>
            <w:r w:rsidRPr="002E7993">
              <w:rPr>
                <w:rFonts w:ascii="Arial" w:hAnsi="Arial" w:cs="Arial"/>
                <w:color w:val="000000"/>
                <w:sz w:val="20"/>
                <w:szCs w:val="20"/>
              </w:rPr>
              <w:t>tDCS</w:t>
            </w:r>
            <w:proofErr w:type="spellEnd"/>
            <w:r w:rsidRPr="002E7993">
              <w:rPr>
                <w:rFonts w:ascii="Arial" w:hAnsi="Arial" w:cs="Arial"/>
                <w:color w:val="000000"/>
                <w:sz w:val="20"/>
                <w:szCs w:val="20"/>
              </w:rPr>
              <w:t xml:space="preserve"> e ENM no AVC crônico</w:t>
            </w:r>
          </w:p>
        </w:tc>
        <w:tc>
          <w:tcPr>
            <w:tcW w:w="3304"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Esta nova estratégia aumenta o beneficio terapêutico e função motora</w:t>
            </w:r>
          </w:p>
        </w:tc>
        <w:tc>
          <w:tcPr>
            <w:tcW w:w="778"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7</w:t>
            </w:r>
          </w:p>
        </w:tc>
        <w:tc>
          <w:tcPr>
            <w:tcW w:w="1305"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 Japão</w:t>
            </w:r>
          </w:p>
        </w:tc>
        <w:tc>
          <w:tcPr>
            <w:tcW w:w="3955" w:type="dxa"/>
            <w:tcBorders>
              <w:top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Investigar os efeitos da </w:t>
            </w:r>
            <w:proofErr w:type="spellStart"/>
            <w:r w:rsidRPr="002E7993">
              <w:rPr>
                <w:rFonts w:ascii="Arial" w:hAnsi="Arial" w:cs="Arial"/>
                <w:color w:val="000000"/>
                <w:sz w:val="20"/>
                <w:szCs w:val="20"/>
              </w:rPr>
              <w:t>tDCS</w:t>
            </w:r>
            <w:proofErr w:type="spellEnd"/>
            <w:r w:rsidRPr="002E7993">
              <w:rPr>
                <w:rFonts w:ascii="Arial" w:hAnsi="Arial" w:cs="Arial"/>
                <w:color w:val="000000"/>
                <w:sz w:val="20"/>
                <w:szCs w:val="20"/>
              </w:rPr>
              <w:t xml:space="preserve"> de </w:t>
            </w:r>
            <w:proofErr w:type="spellStart"/>
            <w:r w:rsidRPr="002E7993">
              <w:rPr>
                <w:rFonts w:ascii="Arial" w:hAnsi="Arial" w:cs="Arial"/>
                <w:color w:val="000000"/>
                <w:sz w:val="20"/>
                <w:szCs w:val="20"/>
              </w:rPr>
              <w:t>Hemisf</w:t>
            </w:r>
            <w:proofErr w:type="spellEnd"/>
            <w:r w:rsidRPr="002E7993">
              <w:rPr>
                <w:rFonts w:ascii="Arial" w:hAnsi="Arial" w:cs="Arial"/>
                <w:color w:val="000000"/>
                <w:sz w:val="20"/>
                <w:szCs w:val="20"/>
              </w:rPr>
              <w:t>.</w:t>
            </w:r>
            <w:r>
              <w:rPr>
                <w:rFonts w:ascii="Arial" w:hAnsi="Arial" w:cs="Arial"/>
                <w:color w:val="000000"/>
                <w:sz w:val="20"/>
                <w:szCs w:val="20"/>
              </w:rPr>
              <w:t xml:space="preserve"> </w:t>
            </w:r>
            <w:r w:rsidRPr="002E7993">
              <w:rPr>
                <w:rFonts w:ascii="Arial" w:hAnsi="Arial" w:cs="Arial"/>
                <w:color w:val="000000"/>
                <w:sz w:val="20"/>
                <w:szCs w:val="20"/>
              </w:rPr>
              <w:t>duplo do córtex motor primário afetado e não afetado, combinado com ENM,</w:t>
            </w:r>
            <w:r>
              <w:rPr>
                <w:rFonts w:ascii="Arial" w:hAnsi="Arial" w:cs="Arial"/>
                <w:color w:val="000000"/>
                <w:sz w:val="20"/>
                <w:szCs w:val="20"/>
              </w:rPr>
              <w:t xml:space="preserve"> </w:t>
            </w:r>
            <w:r w:rsidRPr="002E7993">
              <w:rPr>
                <w:rFonts w:ascii="Arial" w:hAnsi="Arial" w:cs="Arial"/>
                <w:color w:val="000000"/>
                <w:sz w:val="20"/>
                <w:szCs w:val="20"/>
              </w:rPr>
              <w:t>sobre a eficácia da TCI.</w:t>
            </w:r>
          </w:p>
        </w:tc>
      </w:tr>
      <w:tr w:rsidR="009E3AC9" w:rsidRPr="002E7993" w:rsidTr="00FA3246">
        <w:trPr>
          <w:trHeight w:val="610"/>
        </w:trPr>
        <w:tc>
          <w:tcPr>
            <w:tcW w:w="851" w:type="dxa"/>
            <w:gridSpan w:val="2"/>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Suellen </w:t>
            </w:r>
            <w:r>
              <w:rPr>
                <w:rFonts w:ascii="Arial" w:hAnsi="Arial" w:cs="Arial"/>
                <w:color w:val="000000"/>
                <w:sz w:val="20"/>
                <w:szCs w:val="20"/>
              </w:rPr>
              <w:t>et a</w:t>
            </w:r>
            <w:r w:rsidRPr="002E7993">
              <w:rPr>
                <w:rFonts w:ascii="Arial" w:hAnsi="Arial" w:cs="Arial"/>
                <w:color w:val="000000"/>
                <w:sz w:val="20"/>
                <w:szCs w:val="20"/>
              </w:rPr>
              <w:t>l</w:t>
            </w:r>
            <w:r>
              <w:rPr>
                <w:rFonts w:ascii="Arial" w:hAnsi="Arial" w:cs="Arial"/>
                <w:color w:val="000000"/>
                <w:sz w:val="20"/>
                <w:szCs w:val="20"/>
              </w:rPr>
              <w:t>.</w:t>
            </w:r>
          </w:p>
        </w:tc>
        <w:tc>
          <w:tcPr>
            <w:tcW w:w="789"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2017</w:t>
            </w:r>
          </w:p>
        </w:tc>
        <w:tc>
          <w:tcPr>
            <w:tcW w:w="972"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E.C.R</w:t>
            </w:r>
          </w:p>
        </w:tc>
        <w:tc>
          <w:tcPr>
            <w:tcW w:w="1254"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60 indivíduos</w:t>
            </w:r>
          </w:p>
        </w:tc>
        <w:tc>
          <w:tcPr>
            <w:tcW w:w="1920"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TRIM/combinada com TMS a função motora em AVC grave</w:t>
            </w:r>
          </w:p>
        </w:tc>
        <w:tc>
          <w:tcPr>
            <w:tcW w:w="3304"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Houve melhora significativa no resultado primário (indepe</w:t>
            </w:r>
            <w:r>
              <w:rPr>
                <w:rFonts w:ascii="Arial" w:hAnsi="Arial" w:cs="Arial"/>
                <w:color w:val="000000"/>
                <w:sz w:val="20"/>
                <w:szCs w:val="20"/>
              </w:rPr>
              <w:t>n</w:t>
            </w:r>
            <w:r w:rsidRPr="002E7993">
              <w:rPr>
                <w:rFonts w:ascii="Arial" w:hAnsi="Arial" w:cs="Arial"/>
                <w:color w:val="000000"/>
                <w:sz w:val="20"/>
                <w:szCs w:val="20"/>
              </w:rPr>
              <w:t>dência funcional)</w:t>
            </w:r>
          </w:p>
        </w:tc>
        <w:tc>
          <w:tcPr>
            <w:tcW w:w="778"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7</w:t>
            </w:r>
          </w:p>
        </w:tc>
        <w:tc>
          <w:tcPr>
            <w:tcW w:w="1305"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João Pessoa/PB</w:t>
            </w:r>
          </w:p>
        </w:tc>
        <w:tc>
          <w:tcPr>
            <w:tcW w:w="3955" w:type="dxa"/>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Comparar os efeitos da estimulação </w:t>
            </w:r>
            <w:proofErr w:type="spellStart"/>
            <w:r w:rsidRPr="002E7993">
              <w:rPr>
                <w:rFonts w:ascii="Arial" w:hAnsi="Arial" w:cs="Arial"/>
                <w:color w:val="000000"/>
                <w:sz w:val="20"/>
                <w:szCs w:val="20"/>
              </w:rPr>
              <w:t>transcraniana</w:t>
            </w:r>
            <w:proofErr w:type="spellEnd"/>
            <w:r w:rsidRPr="002E7993">
              <w:rPr>
                <w:rFonts w:ascii="Arial" w:hAnsi="Arial" w:cs="Arial"/>
                <w:color w:val="000000"/>
                <w:sz w:val="20"/>
                <w:szCs w:val="20"/>
              </w:rPr>
              <w:t xml:space="preserve"> corrente continua em diferentes locais corticais combinados com TCI pós AVC.</w:t>
            </w:r>
          </w:p>
        </w:tc>
      </w:tr>
      <w:tr w:rsidR="009E3AC9" w:rsidRPr="002E7993" w:rsidTr="00FA3246">
        <w:trPr>
          <w:trHeight w:val="1034"/>
        </w:trPr>
        <w:tc>
          <w:tcPr>
            <w:tcW w:w="851" w:type="dxa"/>
            <w:gridSpan w:val="2"/>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David </w:t>
            </w:r>
            <w:r>
              <w:rPr>
                <w:rFonts w:ascii="Arial" w:hAnsi="Arial" w:cs="Arial"/>
                <w:color w:val="000000"/>
                <w:sz w:val="20"/>
                <w:szCs w:val="20"/>
              </w:rPr>
              <w:t>et a</w:t>
            </w:r>
            <w:r w:rsidRPr="002E7993">
              <w:rPr>
                <w:rFonts w:ascii="Arial" w:hAnsi="Arial" w:cs="Arial"/>
                <w:color w:val="000000"/>
                <w:sz w:val="20"/>
                <w:szCs w:val="20"/>
              </w:rPr>
              <w:t>l</w:t>
            </w:r>
            <w:r>
              <w:rPr>
                <w:rFonts w:ascii="Arial" w:hAnsi="Arial" w:cs="Arial"/>
                <w:color w:val="000000"/>
                <w:sz w:val="20"/>
                <w:szCs w:val="20"/>
              </w:rPr>
              <w:t>.</w:t>
            </w:r>
          </w:p>
        </w:tc>
        <w:tc>
          <w:tcPr>
            <w:tcW w:w="789"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2015</w:t>
            </w:r>
          </w:p>
        </w:tc>
        <w:tc>
          <w:tcPr>
            <w:tcW w:w="972"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E.C.R</w:t>
            </w:r>
          </w:p>
        </w:tc>
        <w:tc>
          <w:tcPr>
            <w:tcW w:w="1254"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12 indivíduos</w:t>
            </w:r>
          </w:p>
        </w:tc>
        <w:tc>
          <w:tcPr>
            <w:tcW w:w="1920"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Estimulação das áreas motoras sup. Na reabilitação do AVC, com a TRIM</w:t>
            </w:r>
          </w:p>
        </w:tc>
        <w:tc>
          <w:tcPr>
            <w:tcW w:w="3304"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Pacientes que receberam </w:t>
            </w:r>
            <w:proofErr w:type="spellStart"/>
            <w:r w:rsidRPr="002E7993">
              <w:rPr>
                <w:rFonts w:ascii="Arial" w:hAnsi="Arial" w:cs="Arial"/>
                <w:color w:val="000000"/>
                <w:sz w:val="20"/>
                <w:szCs w:val="20"/>
              </w:rPr>
              <w:t>tDCS</w:t>
            </w:r>
            <w:proofErr w:type="spellEnd"/>
            <w:r w:rsidRPr="002E7993">
              <w:rPr>
                <w:rFonts w:ascii="Arial" w:hAnsi="Arial" w:cs="Arial"/>
                <w:color w:val="000000"/>
                <w:sz w:val="20"/>
                <w:szCs w:val="20"/>
              </w:rPr>
              <w:t>, demonstraram ganhos da função, destreza e excitabilidade.</w:t>
            </w:r>
          </w:p>
        </w:tc>
        <w:tc>
          <w:tcPr>
            <w:tcW w:w="778"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9</w:t>
            </w:r>
          </w:p>
        </w:tc>
        <w:tc>
          <w:tcPr>
            <w:tcW w:w="1305"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6941FF">
              <w:rPr>
                <w:rFonts w:ascii="Arial" w:hAnsi="Arial" w:cs="Arial"/>
                <w:color w:val="000000"/>
                <w:sz w:val="20"/>
                <w:szCs w:val="20"/>
              </w:rPr>
              <w:t>EUA</w:t>
            </w:r>
          </w:p>
        </w:tc>
        <w:tc>
          <w:tcPr>
            <w:tcW w:w="3955" w:type="dxa"/>
            <w:tcBorders>
              <w:top w:val="nil"/>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Demonstrar a potência das áreas motoras superiores associada a TCI.</w:t>
            </w:r>
          </w:p>
        </w:tc>
      </w:tr>
      <w:tr w:rsidR="009E3AC9" w:rsidRPr="002E7993" w:rsidTr="00FA3246">
        <w:trPr>
          <w:trHeight w:val="70"/>
        </w:trPr>
        <w:tc>
          <w:tcPr>
            <w:tcW w:w="851" w:type="dxa"/>
            <w:gridSpan w:val="2"/>
            <w:tcBorders>
              <w:top w:val="nil"/>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Rafael </w:t>
            </w:r>
            <w:r>
              <w:rPr>
                <w:rFonts w:ascii="Arial" w:hAnsi="Arial" w:cs="Arial"/>
                <w:color w:val="000000"/>
                <w:sz w:val="20"/>
                <w:szCs w:val="20"/>
              </w:rPr>
              <w:t>et a</w:t>
            </w:r>
            <w:r w:rsidRPr="002E7993">
              <w:rPr>
                <w:rFonts w:ascii="Arial" w:hAnsi="Arial" w:cs="Arial"/>
                <w:color w:val="000000"/>
                <w:sz w:val="20"/>
                <w:szCs w:val="20"/>
              </w:rPr>
              <w:t>l</w:t>
            </w:r>
            <w:r>
              <w:rPr>
                <w:rFonts w:ascii="Arial" w:hAnsi="Arial" w:cs="Arial"/>
                <w:color w:val="000000"/>
                <w:sz w:val="20"/>
                <w:szCs w:val="20"/>
              </w:rPr>
              <w:t>.</w:t>
            </w:r>
          </w:p>
        </w:tc>
        <w:tc>
          <w:tcPr>
            <w:tcW w:w="789"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2018</w:t>
            </w:r>
          </w:p>
        </w:tc>
        <w:tc>
          <w:tcPr>
            <w:tcW w:w="972"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E.C.R</w:t>
            </w:r>
          </w:p>
        </w:tc>
        <w:tc>
          <w:tcPr>
            <w:tcW w:w="1254"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30 indivíduos</w:t>
            </w:r>
          </w:p>
        </w:tc>
        <w:tc>
          <w:tcPr>
            <w:tcW w:w="1920"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TCI Modificada na funcionalidade e no desempenho ocupacional pós AVC crônico</w:t>
            </w:r>
          </w:p>
        </w:tc>
        <w:tc>
          <w:tcPr>
            <w:tcW w:w="3304"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Indica que o protocolo TCI 1h30 demonstra potencial para ampliar o uso do MS, na </w:t>
            </w:r>
            <w:r>
              <w:rPr>
                <w:rFonts w:ascii="Arial" w:hAnsi="Arial" w:cs="Arial"/>
                <w:color w:val="000000"/>
                <w:sz w:val="20"/>
                <w:szCs w:val="20"/>
              </w:rPr>
              <w:t>percepção</w:t>
            </w:r>
            <w:r w:rsidRPr="002E7993">
              <w:rPr>
                <w:rFonts w:ascii="Arial" w:hAnsi="Arial" w:cs="Arial"/>
                <w:color w:val="000000"/>
                <w:sz w:val="20"/>
                <w:szCs w:val="20"/>
              </w:rPr>
              <w:t xml:space="preserve"> de qualidade de movimento, desempenho ocupacional com resultados = a TCI 3h e superior ao GC.</w:t>
            </w:r>
          </w:p>
        </w:tc>
        <w:tc>
          <w:tcPr>
            <w:tcW w:w="778"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7</w:t>
            </w:r>
          </w:p>
        </w:tc>
        <w:tc>
          <w:tcPr>
            <w:tcW w:w="1305"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São Carlos/SP</w:t>
            </w:r>
          </w:p>
        </w:tc>
        <w:tc>
          <w:tcPr>
            <w:tcW w:w="3955" w:type="dxa"/>
            <w:tcBorders>
              <w:bottom w:val="single" w:sz="4" w:space="0" w:color="auto"/>
            </w:tcBorders>
            <w:shd w:val="clear" w:color="auto" w:fill="auto"/>
            <w:noWrap/>
            <w:vAlign w:val="bottom"/>
            <w:hideMark/>
          </w:tcPr>
          <w:p w:rsidR="009E3AC9" w:rsidRPr="002E7993" w:rsidRDefault="009E3AC9" w:rsidP="001157B1">
            <w:pPr>
              <w:spacing w:before="80"/>
              <w:jc w:val="both"/>
              <w:rPr>
                <w:rFonts w:ascii="Arial" w:hAnsi="Arial" w:cs="Arial"/>
                <w:color w:val="000000"/>
                <w:sz w:val="20"/>
                <w:szCs w:val="20"/>
              </w:rPr>
            </w:pPr>
            <w:r w:rsidRPr="002E7993">
              <w:rPr>
                <w:rFonts w:ascii="Arial" w:hAnsi="Arial" w:cs="Arial"/>
                <w:color w:val="000000"/>
                <w:sz w:val="20"/>
                <w:szCs w:val="20"/>
              </w:rPr>
              <w:t xml:space="preserve">Comparar os efeitos da TCI modificada 1h30 em relação ao protocolo de 3h e GC na funcionalidade e desempenho ocupacional no MS afetado em indivíduos </w:t>
            </w:r>
            <w:proofErr w:type="spellStart"/>
            <w:r w:rsidRPr="002E7993">
              <w:rPr>
                <w:rFonts w:ascii="Arial" w:hAnsi="Arial" w:cs="Arial"/>
                <w:color w:val="000000"/>
                <w:sz w:val="20"/>
                <w:szCs w:val="20"/>
              </w:rPr>
              <w:t>hemiparéticos</w:t>
            </w:r>
            <w:proofErr w:type="spellEnd"/>
            <w:r w:rsidRPr="002E7993">
              <w:rPr>
                <w:rFonts w:ascii="Arial" w:hAnsi="Arial" w:cs="Arial"/>
                <w:color w:val="000000"/>
                <w:sz w:val="20"/>
                <w:szCs w:val="20"/>
              </w:rPr>
              <w:t xml:space="preserve"> pós AVC e comparar o pacote de métodos comportamentais.</w:t>
            </w:r>
          </w:p>
        </w:tc>
      </w:tr>
    </w:tbl>
    <w:p w:rsidR="00FA3246" w:rsidRDefault="00FA3246" w:rsidP="001157B1">
      <w:pPr>
        <w:spacing w:before="80"/>
        <w:jc w:val="both"/>
        <w:rPr>
          <w:rFonts w:ascii="Arial" w:eastAsia="Arial" w:hAnsi="Arial" w:cs="Arial"/>
          <w:sz w:val="20"/>
          <w:szCs w:val="20"/>
        </w:rPr>
        <w:sectPr w:rsidR="00FA3246" w:rsidSect="00FA3246">
          <w:pgSz w:w="16838" w:h="11907" w:orient="landscape" w:code="9"/>
          <w:pgMar w:top="1418" w:right="1701" w:bottom="1418" w:left="1701" w:header="709" w:footer="709" w:gutter="794"/>
          <w:cols w:space="708"/>
          <w:docGrid w:linePitch="360"/>
        </w:sectPr>
      </w:pPr>
    </w:p>
    <w:p w:rsidR="00D57C5D" w:rsidRDefault="00D57C5D" w:rsidP="001157B1">
      <w:pPr>
        <w:spacing w:before="80"/>
        <w:jc w:val="both"/>
        <w:rPr>
          <w:rFonts w:ascii="Arial" w:eastAsia="Arial" w:hAnsi="Arial" w:cs="Arial"/>
          <w:sz w:val="20"/>
          <w:szCs w:val="20"/>
        </w:rPr>
      </w:pP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O presente estudo mostrou que há poucos artigos que verificaram a funcionalidade do MS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após o uso da TCI isoladamente. Sugere-se que isso ocorra devido à baixa adesão dos pacientes à técnica, devido ao possível desgaste psicológico que ela pode causar, havendo assim a necessidade de atribuir outras terapias, como, por exemplo, TCI combinada com a Estimulação por Corrente Contínua </w:t>
      </w:r>
      <w:proofErr w:type="spellStart"/>
      <w:r w:rsidRPr="004A2CC9">
        <w:rPr>
          <w:rFonts w:ascii="Times New Roman" w:hAnsi="Times New Roman"/>
          <w:sz w:val="24"/>
          <w:szCs w:val="24"/>
        </w:rPr>
        <w:t>Transcraniana</w:t>
      </w:r>
      <w:proofErr w:type="spellEnd"/>
      <w:r w:rsidRPr="004A2CC9">
        <w:rPr>
          <w:rFonts w:ascii="Times New Roman" w:hAnsi="Times New Roman"/>
          <w:sz w:val="24"/>
          <w:szCs w:val="24"/>
        </w:rPr>
        <w:t xml:space="preserve"> e Estimulação Neuromuscular Periférica, ou a própria TCI utilizada com o protocolo modificado. </w:t>
      </w:r>
    </w:p>
    <w:p w:rsidR="004A2CC9" w:rsidRPr="004A2CC9" w:rsidRDefault="004A2CC9" w:rsidP="001157B1">
      <w:pPr>
        <w:spacing w:before="80" w:line="360" w:lineRule="auto"/>
        <w:ind w:firstLine="567"/>
        <w:jc w:val="both"/>
        <w:rPr>
          <w:rFonts w:ascii="Times New Roman" w:hAnsi="Times New Roman"/>
          <w:color w:val="44546A" w:themeColor="text2"/>
          <w:sz w:val="24"/>
          <w:szCs w:val="24"/>
        </w:rPr>
      </w:pPr>
      <w:r w:rsidRPr="004A2CC9">
        <w:rPr>
          <w:rFonts w:ascii="Times New Roman" w:hAnsi="Times New Roman"/>
          <w:sz w:val="24"/>
          <w:szCs w:val="24"/>
        </w:rPr>
        <w:t xml:space="preserve">No estudo proposto por Andrade. S et.al (2017), </w:t>
      </w:r>
      <w:proofErr w:type="spellStart"/>
      <w:r w:rsidRPr="004A2CC9">
        <w:rPr>
          <w:rFonts w:ascii="Times New Roman" w:hAnsi="Times New Roman"/>
          <w:sz w:val="24"/>
          <w:szCs w:val="24"/>
        </w:rPr>
        <w:t>Takashi</w:t>
      </w:r>
      <w:proofErr w:type="spellEnd"/>
      <w:r w:rsidRPr="004A2CC9">
        <w:rPr>
          <w:rFonts w:ascii="Times New Roman" w:hAnsi="Times New Roman"/>
          <w:sz w:val="24"/>
          <w:szCs w:val="24"/>
        </w:rPr>
        <w:t xml:space="preserve"> T. et.al (2015), </w:t>
      </w:r>
      <w:proofErr w:type="spellStart"/>
      <w:r w:rsidRPr="004A2CC9">
        <w:rPr>
          <w:rFonts w:ascii="Times New Roman" w:hAnsi="Times New Roman"/>
          <w:sz w:val="24"/>
          <w:szCs w:val="24"/>
        </w:rPr>
        <w:t>Cunninghama</w:t>
      </w:r>
      <w:proofErr w:type="spellEnd"/>
      <w:r w:rsidRPr="004A2CC9">
        <w:rPr>
          <w:rFonts w:ascii="Times New Roman" w:hAnsi="Times New Roman"/>
          <w:sz w:val="24"/>
          <w:szCs w:val="24"/>
        </w:rPr>
        <w:t xml:space="preserve"> D. (2015) a avaliação funcional foi feita pelo índice de </w:t>
      </w:r>
      <w:proofErr w:type="spellStart"/>
      <w:r w:rsidRPr="004A2CC9">
        <w:rPr>
          <w:rFonts w:ascii="Times New Roman" w:hAnsi="Times New Roman"/>
          <w:sz w:val="24"/>
          <w:szCs w:val="24"/>
        </w:rPr>
        <w:t>Barthel</w:t>
      </w:r>
      <w:proofErr w:type="spellEnd"/>
      <w:r w:rsidRPr="004A2CC9">
        <w:rPr>
          <w:rFonts w:ascii="Times New Roman" w:hAnsi="Times New Roman"/>
          <w:sz w:val="24"/>
          <w:szCs w:val="24"/>
        </w:rPr>
        <w:t xml:space="preserve"> (IB), responsável por analisar a capacidade de independência funcional dos pacientes em realizar 10 </w:t>
      </w:r>
      <w:proofErr w:type="spellStart"/>
      <w:r w:rsidRPr="004A2CC9">
        <w:rPr>
          <w:rFonts w:ascii="Times New Roman" w:hAnsi="Times New Roman"/>
          <w:sz w:val="24"/>
          <w:szCs w:val="24"/>
        </w:rPr>
        <w:t>AVD´s</w:t>
      </w:r>
      <w:proofErr w:type="spellEnd"/>
      <w:r w:rsidRPr="004A2CC9">
        <w:rPr>
          <w:rFonts w:ascii="Times New Roman" w:hAnsi="Times New Roman"/>
          <w:sz w:val="24"/>
          <w:szCs w:val="24"/>
        </w:rPr>
        <w:t xml:space="preserve"> básicas (variação de 0 a 100). A função motora do MS foi avaliada através da escala de </w:t>
      </w:r>
      <w:proofErr w:type="spellStart"/>
      <w:r w:rsidRPr="004A2CC9">
        <w:rPr>
          <w:rFonts w:ascii="Times New Roman" w:hAnsi="Times New Roman"/>
          <w:sz w:val="24"/>
          <w:szCs w:val="24"/>
        </w:rPr>
        <w:t>Fugl</w:t>
      </w:r>
      <w:proofErr w:type="spellEnd"/>
      <w:r w:rsidRPr="004A2CC9">
        <w:rPr>
          <w:rFonts w:ascii="Times New Roman" w:hAnsi="Times New Roman"/>
          <w:sz w:val="24"/>
          <w:szCs w:val="24"/>
        </w:rPr>
        <w:t xml:space="preserve">-Meyer (UEFM), com pontuação de 0 a 66, para avaliar a recuperação motora do braço, e a escala de </w:t>
      </w:r>
      <w:proofErr w:type="spellStart"/>
      <w:r w:rsidRPr="004A2CC9">
        <w:rPr>
          <w:rFonts w:ascii="Times New Roman" w:hAnsi="Times New Roman"/>
          <w:sz w:val="24"/>
          <w:szCs w:val="24"/>
        </w:rPr>
        <w:t>Ashworth</w:t>
      </w:r>
      <w:proofErr w:type="spellEnd"/>
      <w:r w:rsidRPr="004A2CC9">
        <w:rPr>
          <w:rFonts w:ascii="Times New Roman" w:hAnsi="Times New Roman"/>
          <w:sz w:val="24"/>
          <w:szCs w:val="24"/>
        </w:rPr>
        <w:t xml:space="preserve"> modificada (MAS) implementada para avaliar o tônus muscular nos adutores e abdutores do ombro, flexores e extensores. Nos presentes estudos, a avaliação foi a mesma no início e no fim, o que pode ser observado entre os mesmos foi a diferença entre a relação da função motora de extremidade superior </w:t>
      </w:r>
      <w:proofErr w:type="spellStart"/>
      <w:r w:rsidRPr="004A2CC9">
        <w:rPr>
          <w:rFonts w:ascii="Times New Roman" w:hAnsi="Times New Roman"/>
          <w:sz w:val="24"/>
          <w:szCs w:val="24"/>
        </w:rPr>
        <w:t>parética</w:t>
      </w:r>
      <w:proofErr w:type="spellEnd"/>
      <w:r w:rsidRPr="004A2CC9">
        <w:rPr>
          <w:rFonts w:ascii="Times New Roman" w:hAnsi="Times New Roman"/>
          <w:sz w:val="24"/>
          <w:szCs w:val="24"/>
        </w:rPr>
        <w:t xml:space="preserve"> em pacientes com AVC crônico após tratamento, com uma melhora acima de 4,25 pontos na pontuação de UEFM, e acima de 0,5 pontos na pontuação de quantidade de uso do membro através da escala MAL. Por outro lado não se achou diferença do escore de qualidade de movimento da escala MAL, a diferença entre os grupos foi de 0,43.</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Nos mesmos estudos supracitados, para avaliar distúrbios cognitivos ou sinais de demência foi utilizado o </w:t>
      </w:r>
      <w:proofErr w:type="spellStart"/>
      <w:r w:rsidRPr="004A2CC9">
        <w:rPr>
          <w:rFonts w:ascii="Times New Roman" w:hAnsi="Times New Roman"/>
          <w:sz w:val="24"/>
          <w:szCs w:val="24"/>
        </w:rPr>
        <w:t>Miniexame</w:t>
      </w:r>
      <w:proofErr w:type="spellEnd"/>
      <w:r w:rsidRPr="004A2CC9">
        <w:rPr>
          <w:rFonts w:ascii="Times New Roman" w:hAnsi="Times New Roman"/>
          <w:sz w:val="24"/>
          <w:szCs w:val="24"/>
        </w:rPr>
        <w:t xml:space="preserve"> do Estado Mental. O Motor </w:t>
      </w:r>
      <w:proofErr w:type="spellStart"/>
      <w:r w:rsidRPr="004A2CC9">
        <w:rPr>
          <w:rFonts w:ascii="Times New Roman" w:hAnsi="Times New Roman"/>
          <w:sz w:val="24"/>
          <w:szCs w:val="24"/>
        </w:rPr>
        <w:t>Activity</w:t>
      </w:r>
      <w:proofErr w:type="spellEnd"/>
      <w:r w:rsidRPr="004A2CC9">
        <w:rPr>
          <w:rFonts w:ascii="Times New Roman" w:hAnsi="Times New Roman"/>
          <w:sz w:val="24"/>
          <w:szCs w:val="24"/>
        </w:rPr>
        <w:t xml:space="preserve"> Log (MAL) registrou o uso preferencial relatado pelo paciente do membro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ao invés do membro não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na vida diária (detalhes em </w:t>
      </w:r>
      <w:proofErr w:type="spellStart"/>
      <w:r w:rsidRPr="004A2CC9">
        <w:rPr>
          <w:rFonts w:ascii="Times New Roman" w:hAnsi="Times New Roman"/>
          <w:sz w:val="24"/>
          <w:szCs w:val="24"/>
        </w:rPr>
        <w:t>Plough</w:t>
      </w:r>
      <w:proofErr w:type="spellEnd"/>
      <w:r w:rsidRPr="004A2CC9">
        <w:rPr>
          <w:rFonts w:ascii="Times New Roman" w:hAnsi="Times New Roman"/>
          <w:sz w:val="24"/>
          <w:szCs w:val="24"/>
        </w:rPr>
        <w:t xml:space="preserve"> et al.) (Van der Lee et al., 2004). </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Outro achado, foi perante o estudo de Garcia. R.(2018), que em seu ensaio clinico randomizado, fez uso da escala Wolf Motor </w:t>
      </w:r>
      <w:proofErr w:type="spellStart"/>
      <w:r w:rsidRPr="004A2CC9">
        <w:rPr>
          <w:rFonts w:ascii="Times New Roman" w:hAnsi="Times New Roman"/>
          <w:sz w:val="24"/>
          <w:szCs w:val="24"/>
        </w:rPr>
        <w:t>Function</w:t>
      </w:r>
      <w:proofErr w:type="spellEnd"/>
      <w:r w:rsidRPr="004A2CC9">
        <w:rPr>
          <w:rFonts w:ascii="Times New Roman" w:hAnsi="Times New Roman"/>
          <w:sz w:val="24"/>
          <w:szCs w:val="24"/>
        </w:rPr>
        <w:t xml:space="preserve"> Test (WMFT), desenvolvida por Morris e colaboradores (2001), trata-se de um teste utilizado para avaliar a média da velocidade do movimento do paciente durante a execução de 15 tarefas funcionais (14 uni manuais e uma </w:t>
      </w:r>
      <w:proofErr w:type="spellStart"/>
      <w:r w:rsidRPr="004A2CC9">
        <w:rPr>
          <w:rFonts w:ascii="Times New Roman" w:hAnsi="Times New Roman"/>
          <w:sz w:val="24"/>
          <w:szCs w:val="24"/>
        </w:rPr>
        <w:t>bimanual</w:t>
      </w:r>
      <w:proofErr w:type="spellEnd"/>
      <w:r w:rsidRPr="004A2CC9">
        <w:rPr>
          <w:rFonts w:ascii="Times New Roman" w:hAnsi="Times New Roman"/>
          <w:sz w:val="24"/>
          <w:szCs w:val="24"/>
        </w:rPr>
        <w:t xml:space="preserve">), antes e depois da terapia, onde o paciente tem 120 segundos para realizar cada tarefa, com três tentativas para cada uma. Caso o paciente não consiga realizar uma tarefa, é dado o escore de 121 segundos. </w:t>
      </w:r>
    </w:p>
    <w:p w:rsidR="004A2CC9" w:rsidRPr="004A2CC9" w:rsidRDefault="004A2CC9" w:rsidP="001157B1">
      <w:pPr>
        <w:spacing w:before="80" w:line="360" w:lineRule="auto"/>
        <w:ind w:firstLine="567"/>
        <w:jc w:val="both"/>
        <w:rPr>
          <w:rFonts w:ascii="Times New Roman" w:hAnsi="Times New Roman"/>
          <w:color w:val="44546A" w:themeColor="text2"/>
          <w:sz w:val="24"/>
          <w:szCs w:val="24"/>
        </w:rPr>
      </w:pPr>
      <w:r w:rsidRPr="004A2CC9">
        <w:rPr>
          <w:rFonts w:ascii="Times New Roman" w:hAnsi="Times New Roman"/>
          <w:sz w:val="24"/>
          <w:szCs w:val="24"/>
        </w:rPr>
        <w:t>Analisando a WMFT, com relação ao tempo pôde-se observar que os grupos neste presente estudo apresentaram diminuição significativa no tempo de execução do teste pós tratamento, de 0,05 após a TCI.</w:t>
      </w:r>
    </w:p>
    <w:p w:rsidR="004A2CC9" w:rsidRPr="004A2CC9" w:rsidRDefault="004A2CC9" w:rsidP="001157B1">
      <w:pPr>
        <w:spacing w:before="80" w:line="360" w:lineRule="auto"/>
        <w:ind w:firstLine="567"/>
        <w:jc w:val="both"/>
        <w:rPr>
          <w:rFonts w:ascii="Times New Roman" w:hAnsi="Times New Roman"/>
          <w:color w:val="44546A" w:themeColor="text2"/>
          <w:sz w:val="24"/>
          <w:szCs w:val="24"/>
        </w:rPr>
      </w:pPr>
      <w:r w:rsidRPr="004A2CC9">
        <w:rPr>
          <w:rFonts w:ascii="Times New Roman" w:hAnsi="Times New Roman"/>
          <w:sz w:val="24"/>
          <w:szCs w:val="24"/>
        </w:rPr>
        <w:t xml:space="preserve">Nos estudos de </w:t>
      </w:r>
      <w:proofErr w:type="spellStart"/>
      <w:r w:rsidRPr="004A2CC9">
        <w:rPr>
          <w:rFonts w:ascii="Times New Roman" w:hAnsi="Times New Roman"/>
          <w:sz w:val="24"/>
          <w:szCs w:val="24"/>
        </w:rPr>
        <w:t>Takashi</w:t>
      </w:r>
      <w:proofErr w:type="spellEnd"/>
      <w:r w:rsidRPr="004A2CC9">
        <w:rPr>
          <w:rFonts w:ascii="Times New Roman" w:hAnsi="Times New Roman"/>
          <w:sz w:val="24"/>
          <w:szCs w:val="24"/>
        </w:rPr>
        <w:t xml:space="preserve"> et.al (2015), Andrade et.al (2017) e </w:t>
      </w:r>
      <w:proofErr w:type="spellStart"/>
      <w:r w:rsidRPr="004A2CC9">
        <w:rPr>
          <w:rFonts w:ascii="Times New Roman" w:hAnsi="Times New Roman"/>
          <w:sz w:val="24"/>
          <w:szCs w:val="24"/>
        </w:rPr>
        <w:t>Cunninghama</w:t>
      </w:r>
      <w:proofErr w:type="spellEnd"/>
      <w:r w:rsidRPr="004A2CC9">
        <w:rPr>
          <w:rFonts w:ascii="Times New Roman" w:hAnsi="Times New Roman"/>
          <w:sz w:val="24"/>
          <w:szCs w:val="24"/>
        </w:rPr>
        <w:t xml:space="preserve"> D. (2015), foi realizada a comparação entre TCI protocolo 2h a 4h por duas semanas (10 dias excluindo finais de semana) e </w:t>
      </w:r>
      <w:proofErr w:type="spellStart"/>
      <w:r w:rsidRPr="004A2CC9">
        <w:rPr>
          <w:rFonts w:ascii="Times New Roman" w:hAnsi="Times New Roman"/>
          <w:sz w:val="24"/>
          <w:szCs w:val="24"/>
        </w:rPr>
        <w:t>tDCS</w:t>
      </w:r>
      <w:proofErr w:type="spellEnd"/>
      <w:r w:rsidRPr="004A2CC9">
        <w:rPr>
          <w:rFonts w:ascii="Times New Roman" w:hAnsi="Times New Roman"/>
          <w:sz w:val="24"/>
          <w:szCs w:val="24"/>
        </w:rPr>
        <w:t xml:space="preserve"> por 20 minutos (10 sessões, 5 dias consecutivos por duas semanas).  A </w:t>
      </w:r>
      <w:proofErr w:type="spellStart"/>
      <w:r w:rsidRPr="004A2CC9">
        <w:rPr>
          <w:rFonts w:ascii="Times New Roman" w:hAnsi="Times New Roman"/>
          <w:sz w:val="24"/>
          <w:szCs w:val="24"/>
        </w:rPr>
        <w:t>tDCS</w:t>
      </w:r>
      <w:proofErr w:type="spellEnd"/>
      <w:r w:rsidRPr="004A2CC9">
        <w:rPr>
          <w:rFonts w:ascii="Times New Roman" w:hAnsi="Times New Roman"/>
          <w:sz w:val="24"/>
          <w:szCs w:val="24"/>
        </w:rPr>
        <w:t xml:space="preserve"> é uma técnica que usa corrente contínua fina de dois eletrodos colocados no couro cabeludo, o que aumenta a modulação de longa duração da excitabilidade cortical por meio da despolarização ou </w:t>
      </w:r>
      <w:proofErr w:type="spellStart"/>
      <w:r w:rsidRPr="004A2CC9">
        <w:rPr>
          <w:rFonts w:ascii="Times New Roman" w:hAnsi="Times New Roman"/>
          <w:sz w:val="24"/>
          <w:szCs w:val="24"/>
        </w:rPr>
        <w:t>hiperpolarização</w:t>
      </w:r>
      <w:proofErr w:type="spellEnd"/>
      <w:r w:rsidRPr="004A2CC9">
        <w:rPr>
          <w:rFonts w:ascii="Times New Roman" w:hAnsi="Times New Roman"/>
          <w:sz w:val="24"/>
          <w:szCs w:val="24"/>
        </w:rPr>
        <w:t xml:space="preserve"> das células. Após avaliação através das escalas e tratamento pôde-se observar que em comparação aos pacientes que se submeteram ao tratamento motor e comportamental isoladamente, os grupos que receberam dual-</w:t>
      </w:r>
      <w:proofErr w:type="spellStart"/>
      <w:r w:rsidRPr="004A2CC9">
        <w:rPr>
          <w:rFonts w:ascii="Times New Roman" w:hAnsi="Times New Roman"/>
          <w:sz w:val="24"/>
          <w:szCs w:val="24"/>
        </w:rPr>
        <w:t>tDCS</w:t>
      </w:r>
      <w:proofErr w:type="spellEnd"/>
      <w:r w:rsidRPr="004A2CC9">
        <w:rPr>
          <w:rFonts w:ascii="Times New Roman" w:hAnsi="Times New Roman"/>
          <w:sz w:val="24"/>
          <w:szCs w:val="24"/>
        </w:rPr>
        <w:t xml:space="preserve"> e PNMES associada a TCI, recuperaram a função motora e destreza em maior extensão do que pacientes que receberam a terapia convencional, na fase aguda, subaguda e crônica do AVC. </w:t>
      </w:r>
    </w:p>
    <w:p w:rsidR="004A2CC9" w:rsidRPr="004A2CC9" w:rsidRDefault="004A2CC9" w:rsidP="001157B1">
      <w:pPr>
        <w:spacing w:before="80" w:line="360" w:lineRule="auto"/>
        <w:ind w:firstLine="567"/>
        <w:jc w:val="both"/>
        <w:rPr>
          <w:rFonts w:ascii="Times New Roman" w:hAnsi="Times New Roman"/>
          <w:color w:val="44546A" w:themeColor="text2"/>
          <w:sz w:val="24"/>
          <w:szCs w:val="24"/>
        </w:rPr>
      </w:pPr>
      <w:r w:rsidRPr="004A2CC9">
        <w:rPr>
          <w:rFonts w:ascii="Times New Roman" w:hAnsi="Times New Roman"/>
          <w:sz w:val="24"/>
          <w:szCs w:val="24"/>
        </w:rPr>
        <w:t xml:space="preserve">Já no estudo de Garcia R. (2018), foi feito o uso da Terapia por Contensão Induzida Modificada – protocolo 1h30. Os participantes deste grupo receberam o protocolo modificado da TCI, que consistiu em 10 atendimentos, com uma hora e meia de duração ao longo de um período de quatro semanas, com uma frequência semanal de três atendimentos. Durante os 30 minutos iniciais de cada terapia foi realizada a aplicação de parte do pacote de métodos comportamentais, seguido por 60 minutos de treino motor. Os participantes deste grupo realizaram dez atendimentos, com três horas de duração ao longo de um período de duas semanas, com uma frequência semanal de cinco atendimentos. Os resultados do estudo sugerem que o protocolo da TCI com duração de 1h30, demonstra potencial para ampliar o uso e a percepção da qualidade de movimento e o desempenho motor do membro superior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de pessoas na fase crônica do AVC, bem como ampliar o desempenho ocupacional destes, sem diferença quando os resultados são comparados ao protocolo de 3 horas de duração</w:t>
      </w:r>
      <w:r w:rsidRPr="004A2CC9">
        <w:rPr>
          <w:rFonts w:ascii="Times New Roman" w:hAnsi="Times New Roman"/>
          <w:color w:val="FF0000"/>
          <w:sz w:val="24"/>
          <w:szCs w:val="24"/>
        </w:rPr>
        <w:t>.</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 xml:space="preserve"> Um aspecto importante a ser notado nos estudos, é que todos os grupos tiveram um padrão de melhora. Este desempenho é provavelmente devido a eficácia promovida pelo protocolo de tratamento da Terapia de Contensão Induzida, devido o mecanismo pela qual leva a </w:t>
      </w:r>
      <w:proofErr w:type="spellStart"/>
      <w:r w:rsidRPr="004A2CC9">
        <w:rPr>
          <w:rFonts w:ascii="Times New Roman" w:hAnsi="Times New Roman"/>
          <w:sz w:val="24"/>
          <w:szCs w:val="24"/>
        </w:rPr>
        <w:t>neuroplasticidade</w:t>
      </w:r>
      <w:proofErr w:type="spellEnd"/>
      <w:r w:rsidRPr="004A2CC9">
        <w:rPr>
          <w:rFonts w:ascii="Times New Roman" w:hAnsi="Times New Roman"/>
          <w:sz w:val="24"/>
          <w:szCs w:val="24"/>
        </w:rPr>
        <w:t>, onde desenvolve conexões anatômicas por meio do brotamento neuronal, aumentando a eficácia das conexões sinápticas existentes envolvidas antes da lesão.</w:t>
      </w:r>
    </w:p>
    <w:p w:rsidR="004A2CC9" w:rsidRPr="004A2CC9" w:rsidRDefault="004A2CC9" w:rsidP="001157B1">
      <w:pPr>
        <w:spacing w:before="80" w:line="360" w:lineRule="auto"/>
        <w:ind w:firstLine="567"/>
        <w:jc w:val="both"/>
        <w:rPr>
          <w:rFonts w:ascii="Times New Roman" w:hAnsi="Times New Roman"/>
          <w:sz w:val="24"/>
          <w:szCs w:val="24"/>
        </w:rPr>
      </w:pPr>
      <w:r w:rsidRPr="004A2CC9">
        <w:rPr>
          <w:rFonts w:ascii="Times New Roman" w:hAnsi="Times New Roman"/>
          <w:sz w:val="24"/>
          <w:szCs w:val="24"/>
        </w:rPr>
        <w:t>Nesta revisão sistemática, percebeu-se que</w:t>
      </w:r>
      <w:r w:rsidRPr="004A2CC9">
        <w:rPr>
          <w:rFonts w:ascii="Times New Roman" w:hAnsi="Times New Roman"/>
          <w:color w:val="44546A" w:themeColor="text2"/>
          <w:sz w:val="24"/>
          <w:szCs w:val="24"/>
        </w:rPr>
        <w:t xml:space="preserve"> </w:t>
      </w:r>
      <w:r w:rsidRPr="004A2CC9">
        <w:rPr>
          <w:rFonts w:ascii="Times New Roman" w:hAnsi="Times New Roman"/>
          <w:sz w:val="24"/>
          <w:szCs w:val="24"/>
        </w:rPr>
        <w:t xml:space="preserve">o melhor efeito da TCI, está relacionado a um aumento da função motora, destreza e grau de mobilidade do MS acometido, proporcionando assim, uma melhor qualidade de vida a esse paciente e independência em suas </w:t>
      </w:r>
      <w:proofErr w:type="spellStart"/>
      <w:r w:rsidRPr="004A2CC9">
        <w:rPr>
          <w:rFonts w:ascii="Times New Roman" w:hAnsi="Times New Roman"/>
          <w:sz w:val="24"/>
          <w:szCs w:val="24"/>
        </w:rPr>
        <w:t>AVD’s</w:t>
      </w:r>
      <w:proofErr w:type="spellEnd"/>
      <w:r w:rsidRPr="004A2CC9">
        <w:rPr>
          <w:rFonts w:ascii="Times New Roman" w:hAnsi="Times New Roman"/>
          <w:sz w:val="24"/>
          <w:szCs w:val="24"/>
        </w:rPr>
        <w:t xml:space="preserve">. </w:t>
      </w:r>
    </w:p>
    <w:p w:rsidR="00522ECF" w:rsidRPr="004A2CC9" w:rsidRDefault="004A2CC9" w:rsidP="001157B1">
      <w:pPr>
        <w:spacing w:before="80" w:line="360" w:lineRule="auto"/>
        <w:ind w:firstLine="567"/>
        <w:jc w:val="both"/>
        <w:rPr>
          <w:rFonts w:ascii="Times New Roman" w:eastAsia="Arial" w:hAnsi="Times New Roman"/>
          <w:sz w:val="24"/>
          <w:szCs w:val="24"/>
        </w:rPr>
        <w:sectPr w:rsidR="00522ECF" w:rsidRPr="004A2CC9" w:rsidSect="00FA3246">
          <w:headerReference w:type="default" r:id="rId11"/>
          <w:pgSz w:w="11907" w:h="16838" w:code="9"/>
          <w:pgMar w:top="1701" w:right="1418" w:bottom="1701" w:left="1418" w:header="709" w:footer="709" w:gutter="794"/>
          <w:cols w:space="708"/>
          <w:docGrid w:linePitch="360"/>
        </w:sectPr>
      </w:pPr>
      <w:r w:rsidRPr="004A2CC9">
        <w:rPr>
          <w:rFonts w:ascii="Times New Roman" w:hAnsi="Times New Roman"/>
          <w:sz w:val="24"/>
          <w:szCs w:val="24"/>
        </w:rPr>
        <w:t xml:space="preserve">É importante destacar os principais problemas metodológicos deste estudo: há um artigo que comprova a melhora funcional do membro superior </w:t>
      </w:r>
      <w:proofErr w:type="spellStart"/>
      <w:r w:rsidRPr="004A2CC9">
        <w:rPr>
          <w:rFonts w:ascii="Times New Roman" w:hAnsi="Times New Roman"/>
          <w:sz w:val="24"/>
          <w:szCs w:val="24"/>
        </w:rPr>
        <w:t>parético</w:t>
      </w:r>
      <w:proofErr w:type="spellEnd"/>
      <w:r w:rsidRPr="004A2CC9">
        <w:rPr>
          <w:rFonts w:ascii="Times New Roman" w:hAnsi="Times New Roman"/>
          <w:sz w:val="24"/>
          <w:szCs w:val="24"/>
        </w:rPr>
        <w:t xml:space="preserve"> com uso da TCI modificada isoladamente; os artigos somente foram pesquisados em três bases de dados; o número das amostras nos artigos encontrados f</w:t>
      </w:r>
      <w:r w:rsidR="001C0784">
        <w:rPr>
          <w:rFonts w:ascii="Times New Roman" w:hAnsi="Times New Roman"/>
          <w:sz w:val="24"/>
          <w:szCs w:val="24"/>
        </w:rPr>
        <w:t xml:space="preserve">oi satisfatório em somente dois </w:t>
      </w:r>
      <w:r w:rsidRPr="004A2CC9">
        <w:rPr>
          <w:rFonts w:ascii="Times New Roman" w:hAnsi="Times New Roman"/>
          <w:sz w:val="24"/>
          <w:szCs w:val="24"/>
        </w:rPr>
        <w:t>artigos</w:t>
      </w:r>
      <w:r>
        <w:rPr>
          <w:rFonts w:ascii="Times New Roman" w:hAnsi="Times New Roman"/>
          <w:sz w:val="24"/>
          <w:szCs w:val="24"/>
        </w:rPr>
        <w:t>.</w:t>
      </w:r>
    </w:p>
    <w:p w:rsidR="002A7543" w:rsidRPr="009544B0" w:rsidRDefault="002A7543" w:rsidP="001157B1">
      <w:pPr>
        <w:spacing w:before="80" w:after="0" w:line="360" w:lineRule="auto"/>
        <w:contextualSpacing/>
        <w:rPr>
          <w:rFonts w:ascii="Times New Roman" w:hAnsi="Times New Roman"/>
          <w:sz w:val="24"/>
          <w:szCs w:val="24"/>
        </w:rPr>
      </w:pPr>
    </w:p>
    <w:p w:rsidR="00A50670" w:rsidRPr="009544B0" w:rsidRDefault="00E36D06" w:rsidP="001157B1">
      <w:pPr>
        <w:pStyle w:val="Ttulo1"/>
        <w:spacing w:before="80" w:after="0" w:line="360" w:lineRule="auto"/>
        <w:ind w:left="567"/>
        <w:contextualSpacing/>
        <w:rPr>
          <w:rFonts w:ascii="Times New Roman" w:hAnsi="Times New Roman" w:cs="Times New Roman"/>
        </w:rPr>
      </w:pPr>
      <w:bookmarkStart w:id="7" w:name="_Toc358054244"/>
      <w:bookmarkStart w:id="8" w:name="_Toc360478833"/>
      <w:r w:rsidRPr="009544B0">
        <w:rPr>
          <w:rFonts w:ascii="Times New Roman" w:hAnsi="Times New Roman" w:cs="Times New Roman"/>
        </w:rPr>
        <w:t>5</w:t>
      </w:r>
      <w:r w:rsidR="00CB5A9C" w:rsidRPr="009544B0">
        <w:rPr>
          <w:rFonts w:ascii="Times New Roman" w:hAnsi="Times New Roman" w:cs="Times New Roman"/>
        </w:rPr>
        <w:t>.</w:t>
      </w:r>
      <w:r w:rsidR="00A50670" w:rsidRPr="009544B0">
        <w:rPr>
          <w:rFonts w:ascii="Times New Roman" w:hAnsi="Times New Roman" w:cs="Times New Roman"/>
        </w:rPr>
        <w:t xml:space="preserve"> CONSIDERAÇÕES FINAIS</w:t>
      </w:r>
      <w:bookmarkEnd w:id="7"/>
      <w:bookmarkEnd w:id="8"/>
    </w:p>
    <w:p w:rsidR="009E3AC9" w:rsidRPr="009E3AC9" w:rsidRDefault="009E3AC9" w:rsidP="001157B1">
      <w:pPr>
        <w:keepNext/>
        <w:keepLines/>
        <w:spacing w:before="80" w:line="360" w:lineRule="auto"/>
        <w:ind w:left="567" w:right="424" w:firstLine="567"/>
        <w:jc w:val="both"/>
        <w:outlineLvl w:val="0"/>
        <w:rPr>
          <w:rFonts w:ascii="Times New Roman" w:hAnsi="Times New Roman"/>
          <w:sz w:val="24"/>
        </w:rPr>
      </w:pPr>
      <w:r w:rsidRPr="009E3AC9">
        <w:rPr>
          <w:rFonts w:ascii="Times New Roman" w:hAnsi="Times New Roman"/>
          <w:sz w:val="24"/>
        </w:rPr>
        <w:t xml:space="preserve">Verificou-se que a TCI gera resultados satisfatórios em sua aplicabilidade. Além disso, quando associada à outra terapia, o resultado se torna ainda mais favorável em pacientes com o membro superior </w:t>
      </w:r>
      <w:proofErr w:type="spellStart"/>
      <w:r w:rsidRPr="009E3AC9">
        <w:rPr>
          <w:rFonts w:ascii="Times New Roman" w:hAnsi="Times New Roman"/>
          <w:sz w:val="24"/>
        </w:rPr>
        <w:t>parético</w:t>
      </w:r>
      <w:proofErr w:type="spellEnd"/>
      <w:r w:rsidRPr="009E3AC9">
        <w:rPr>
          <w:rFonts w:ascii="Times New Roman" w:hAnsi="Times New Roman"/>
          <w:sz w:val="24"/>
        </w:rPr>
        <w:t xml:space="preserve">, após AVC. </w:t>
      </w:r>
    </w:p>
    <w:p w:rsidR="009E3AC9" w:rsidRPr="009E3AC9" w:rsidRDefault="009E3AC9" w:rsidP="001157B1">
      <w:pPr>
        <w:keepNext/>
        <w:keepLines/>
        <w:spacing w:before="80" w:line="360" w:lineRule="auto"/>
        <w:ind w:left="567" w:right="424" w:firstLine="567"/>
        <w:jc w:val="both"/>
        <w:outlineLvl w:val="0"/>
        <w:rPr>
          <w:rFonts w:ascii="Times New Roman" w:hAnsi="Times New Roman"/>
          <w:sz w:val="24"/>
        </w:rPr>
      </w:pPr>
      <w:r w:rsidRPr="009E3AC9">
        <w:rPr>
          <w:rFonts w:ascii="Times New Roman" w:hAnsi="Times New Roman"/>
          <w:sz w:val="24"/>
        </w:rPr>
        <w:t>Observou-se que a maioria dos estudos não são recentes, ressaltando-se a necessidade de pesquisas atualizadas na área, para investigar a utilização da TCI em pacientes com lesões agudas e crônicas decorrentes do AVC.</w:t>
      </w:r>
    </w:p>
    <w:p w:rsidR="009333C2" w:rsidRDefault="009333C2" w:rsidP="001157B1">
      <w:pPr>
        <w:spacing w:before="80" w:after="0" w:line="360" w:lineRule="auto"/>
        <w:contextualSpacing/>
        <w:rPr>
          <w:rFonts w:ascii="Times New Roman" w:hAnsi="Times New Roman"/>
          <w:sz w:val="24"/>
          <w:szCs w:val="24"/>
        </w:rPr>
      </w:pPr>
    </w:p>
    <w:p w:rsidR="004A2CC9" w:rsidRPr="009544B0" w:rsidRDefault="004A2CC9" w:rsidP="001157B1">
      <w:pPr>
        <w:spacing w:before="80" w:after="0" w:line="360" w:lineRule="auto"/>
        <w:contextualSpacing/>
        <w:rPr>
          <w:rFonts w:ascii="Times New Roman" w:hAnsi="Times New Roman"/>
          <w:sz w:val="24"/>
          <w:szCs w:val="24"/>
        </w:rPr>
      </w:pPr>
    </w:p>
    <w:p w:rsidR="00702E08" w:rsidRDefault="00702E08" w:rsidP="001157B1">
      <w:pPr>
        <w:spacing w:before="80" w:after="0" w:line="360" w:lineRule="auto"/>
        <w:ind w:left="567"/>
        <w:contextualSpacing/>
        <w:rPr>
          <w:rFonts w:ascii="Times New Roman" w:hAnsi="Times New Roman"/>
          <w:b/>
          <w:sz w:val="24"/>
          <w:szCs w:val="24"/>
        </w:rPr>
      </w:pPr>
      <w:bookmarkStart w:id="9" w:name="_Toc358054245"/>
      <w:bookmarkStart w:id="10" w:name="_Toc360478834"/>
      <w:r w:rsidRPr="009544B0">
        <w:rPr>
          <w:rFonts w:ascii="Times New Roman" w:hAnsi="Times New Roman"/>
          <w:b/>
          <w:sz w:val="24"/>
          <w:szCs w:val="24"/>
        </w:rPr>
        <w:t>REFER</w:t>
      </w:r>
      <w:r w:rsidR="009544B0">
        <w:rPr>
          <w:rFonts w:ascii="Times New Roman" w:hAnsi="Times New Roman"/>
          <w:b/>
          <w:sz w:val="24"/>
          <w:szCs w:val="24"/>
        </w:rPr>
        <w:t>Ê</w:t>
      </w:r>
      <w:r w:rsidRPr="009544B0">
        <w:rPr>
          <w:rFonts w:ascii="Times New Roman" w:hAnsi="Times New Roman"/>
          <w:b/>
          <w:sz w:val="24"/>
          <w:szCs w:val="24"/>
        </w:rPr>
        <w:t>NCIAS</w:t>
      </w:r>
      <w:bookmarkEnd w:id="9"/>
      <w:bookmarkEnd w:id="10"/>
    </w:p>
    <w:p w:rsidR="00E24C57" w:rsidRDefault="00E24C57" w:rsidP="001157B1">
      <w:pPr>
        <w:spacing w:before="80" w:after="0" w:line="360" w:lineRule="auto"/>
        <w:contextualSpacing/>
        <w:rPr>
          <w:rFonts w:ascii="Times New Roman" w:hAnsi="Times New Roman"/>
          <w:b/>
          <w:sz w:val="24"/>
          <w:szCs w:val="24"/>
        </w:rPr>
      </w:pPr>
    </w:p>
    <w:p w:rsidR="009E3AC9" w:rsidRDefault="009E3AC9" w:rsidP="001157B1">
      <w:pPr>
        <w:spacing w:before="80" w:after="0" w:line="240" w:lineRule="auto"/>
        <w:ind w:left="567"/>
        <w:contextualSpacing/>
        <w:rPr>
          <w:rFonts w:ascii="Times New Roman" w:hAnsi="Times New Roman"/>
          <w:color w:val="212121"/>
          <w:sz w:val="24"/>
          <w:szCs w:val="24"/>
          <w:shd w:val="clear" w:color="auto" w:fill="FFFFFF"/>
        </w:rPr>
      </w:pPr>
      <w:r w:rsidRPr="00E24C57">
        <w:rPr>
          <w:rFonts w:ascii="Times New Roman" w:hAnsi="Times New Roman"/>
          <w:color w:val="212121"/>
          <w:sz w:val="24"/>
          <w:szCs w:val="24"/>
          <w:shd w:val="clear" w:color="auto" w:fill="FFFFFF"/>
        </w:rPr>
        <w:t xml:space="preserve">Andrade SM, Batista LM, Nogueira LL, de Oliveira EA, de Carvalho AG, Lima SS, Santana JR, de Lima EC, Fernández-Calvo B. </w:t>
      </w:r>
      <w:proofErr w:type="spellStart"/>
      <w:r w:rsidRPr="00E24C57">
        <w:rPr>
          <w:rFonts w:ascii="Times New Roman" w:hAnsi="Times New Roman"/>
          <w:b/>
          <w:color w:val="212121"/>
          <w:sz w:val="24"/>
          <w:szCs w:val="24"/>
          <w:shd w:val="clear" w:color="auto" w:fill="FFFFFF"/>
        </w:rPr>
        <w:t>Constraint-Induced</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Movement</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Therapy</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Combined</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with</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Transcranial</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Direct</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Current</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Stimulation</w:t>
      </w:r>
      <w:proofErr w:type="spellEnd"/>
      <w:r w:rsidRPr="00E24C57">
        <w:rPr>
          <w:rFonts w:ascii="Times New Roman" w:hAnsi="Times New Roman"/>
          <w:b/>
          <w:color w:val="212121"/>
          <w:sz w:val="24"/>
          <w:szCs w:val="24"/>
          <w:shd w:val="clear" w:color="auto" w:fill="FFFFFF"/>
        </w:rPr>
        <w:t xml:space="preserve"> over </w:t>
      </w:r>
      <w:proofErr w:type="spellStart"/>
      <w:r w:rsidRPr="00E24C57">
        <w:rPr>
          <w:rFonts w:ascii="Times New Roman" w:hAnsi="Times New Roman"/>
          <w:b/>
          <w:color w:val="212121"/>
          <w:sz w:val="24"/>
          <w:szCs w:val="24"/>
          <w:shd w:val="clear" w:color="auto" w:fill="FFFFFF"/>
        </w:rPr>
        <w:t>Premotor</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Cortex</w:t>
      </w:r>
      <w:proofErr w:type="spellEnd"/>
      <w:r w:rsidRPr="00E24C57">
        <w:rPr>
          <w:rFonts w:ascii="Times New Roman" w:hAnsi="Times New Roman"/>
          <w:b/>
          <w:color w:val="212121"/>
          <w:sz w:val="24"/>
          <w:szCs w:val="24"/>
          <w:shd w:val="clear" w:color="auto" w:fill="FFFFFF"/>
        </w:rPr>
        <w:t xml:space="preserve"> Improves Motor </w:t>
      </w:r>
      <w:proofErr w:type="spellStart"/>
      <w:r w:rsidRPr="00E24C57">
        <w:rPr>
          <w:rFonts w:ascii="Times New Roman" w:hAnsi="Times New Roman"/>
          <w:b/>
          <w:color w:val="212121"/>
          <w:sz w:val="24"/>
          <w:szCs w:val="24"/>
          <w:shd w:val="clear" w:color="auto" w:fill="FFFFFF"/>
        </w:rPr>
        <w:t>Function</w:t>
      </w:r>
      <w:proofErr w:type="spellEnd"/>
      <w:r w:rsidRPr="00E24C57">
        <w:rPr>
          <w:rFonts w:ascii="Times New Roman" w:hAnsi="Times New Roman"/>
          <w:b/>
          <w:color w:val="212121"/>
          <w:sz w:val="24"/>
          <w:szCs w:val="24"/>
          <w:shd w:val="clear" w:color="auto" w:fill="FFFFFF"/>
        </w:rPr>
        <w:t xml:space="preserve"> in </w:t>
      </w:r>
      <w:proofErr w:type="spellStart"/>
      <w:r w:rsidRPr="00E24C57">
        <w:rPr>
          <w:rFonts w:ascii="Times New Roman" w:hAnsi="Times New Roman"/>
          <w:b/>
          <w:color w:val="212121"/>
          <w:sz w:val="24"/>
          <w:szCs w:val="24"/>
          <w:shd w:val="clear" w:color="auto" w:fill="FFFFFF"/>
        </w:rPr>
        <w:t>Severe</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Stroke</w:t>
      </w:r>
      <w:proofErr w:type="spellEnd"/>
      <w:r w:rsidRPr="00E24C57">
        <w:rPr>
          <w:rFonts w:ascii="Times New Roman" w:hAnsi="Times New Roman"/>
          <w:b/>
          <w:color w:val="212121"/>
          <w:sz w:val="24"/>
          <w:szCs w:val="24"/>
          <w:shd w:val="clear" w:color="auto" w:fill="FFFFFF"/>
        </w:rPr>
        <w:t xml:space="preserve">: A </w:t>
      </w:r>
      <w:proofErr w:type="spellStart"/>
      <w:r w:rsidRPr="00E24C57">
        <w:rPr>
          <w:rFonts w:ascii="Times New Roman" w:hAnsi="Times New Roman"/>
          <w:b/>
          <w:color w:val="212121"/>
          <w:sz w:val="24"/>
          <w:szCs w:val="24"/>
          <w:shd w:val="clear" w:color="auto" w:fill="FFFFFF"/>
        </w:rPr>
        <w:t>Pilot</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Randomized</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Controlled</w:t>
      </w:r>
      <w:proofErr w:type="spellEnd"/>
      <w:r w:rsidRPr="00E24C57">
        <w:rPr>
          <w:rFonts w:ascii="Times New Roman" w:hAnsi="Times New Roman"/>
          <w:b/>
          <w:color w:val="212121"/>
          <w:sz w:val="24"/>
          <w:szCs w:val="24"/>
          <w:shd w:val="clear" w:color="auto" w:fill="FFFFFF"/>
        </w:rPr>
        <w:t xml:space="preserve"> </w:t>
      </w:r>
      <w:proofErr w:type="spellStart"/>
      <w:r w:rsidRPr="00E24C57">
        <w:rPr>
          <w:rFonts w:ascii="Times New Roman" w:hAnsi="Times New Roman"/>
          <w:b/>
          <w:color w:val="212121"/>
          <w:sz w:val="24"/>
          <w:szCs w:val="24"/>
          <w:shd w:val="clear" w:color="auto" w:fill="FFFFFF"/>
        </w:rPr>
        <w:t>Trial.</w:t>
      </w:r>
      <w:r w:rsidRPr="00E24C57">
        <w:rPr>
          <w:rFonts w:ascii="Times New Roman" w:hAnsi="Times New Roman"/>
          <w:color w:val="212121"/>
          <w:sz w:val="24"/>
          <w:szCs w:val="24"/>
          <w:shd w:val="clear" w:color="auto" w:fill="FFFFFF"/>
        </w:rPr>
        <w:t>Rehabil</w:t>
      </w:r>
      <w:proofErr w:type="spellEnd"/>
      <w:r w:rsidRPr="00E24C57">
        <w:rPr>
          <w:rFonts w:ascii="Times New Roman" w:hAnsi="Times New Roman"/>
          <w:color w:val="212121"/>
          <w:sz w:val="24"/>
          <w:szCs w:val="24"/>
          <w:shd w:val="clear" w:color="auto" w:fill="FFFFFF"/>
        </w:rPr>
        <w:t xml:space="preserve"> Res </w:t>
      </w:r>
      <w:proofErr w:type="spellStart"/>
      <w:r w:rsidRPr="00E24C57">
        <w:rPr>
          <w:rFonts w:ascii="Times New Roman" w:hAnsi="Times New Roman"/>
          <w:color w:val="212121"/>
          <w:sz w:val="24"/>
          <w:szCs w:val="24"/>
          <w:shd w:val="clear" w:color="auto" w:fill="FFFFFF"/>
        </w:rPr>
        <w:t>Pract</w:t>
      </w:r>
      <w:proofErr w:type="spellEnd"/>
      <w:r w:rsidRPr="00E24C57">
        <w:rPr>
          <w:rFonts w:ascii="Times New Roman" w:hAnsi="Times New Roman"/>
          <w:color w:val="212121"/>
          <w:sz w:val="24"/>
          <w:szCs w:val="24"/>
          <w:shd w:val="clear" w:color="auto" w:fill="FFFFFF"/>
        </w:rPr>
        <w:t xml:space="preserve">. 2017;2017:6842549. </w:t>
      </w:r>
      <w:proofErr w:type="spellStart"/>
      <w:r w:rsidRPr="00E24C57">
        <w:rPr>
          <w:rFonts w:ascii="Times New Roman" w:hAnsi="Times New Roman"/>
          <w:color w:val="212121"/>
          <w:sz w:val="24"/>
          <w:szCs w:val="24"/>
          <w:shd w:val="clear" w:color="auto" w:fill="FFFFFF"/>
        </w:rPr>
        <w:t>doi</w:t>
      </w:r>
      <w:proofErr w:type="spellEnd"/>
      <w:r w:rsidRPr="00E24C57">
        <w:rPr>
          <w:rFonts w:ascii="Times New Roman" w:hAnsi="Times New Roman"/>
          <w:color w:val="212121"/>
          <w:sz w:val="24"/>
          <w:szCs w:val="24"/>
          <w:shd w:val="clear" w:color="auto" w:fill="FFFFFF"/>
        </w:rPr>
        <w:t xml:space="preserve">: 10.1155/2017/6842549. </w:t>
      </w:r>
      <w:proofErr w:type="spellStart"/>
      <w:r w:rsidRPr="00E24C57">
        <w:rPr>
          <w:rFonts w:ascii="Times New Roman" w:hAnsi="Times New Roman"/>
          <w:color w:val="212121"/>
          <w:sz w:val="24"/>
          <w:szCs w:val="24"/>
          <w:shd w:val="clear" w:color="auto" w:fill="FFFFFF"/>
        </w:rPr>
        <w:t>Epub</w:t>
      </w:r>
      <w:proofErr w:type="spellEnd"/>
      <w:r w:rsidRPr="00E24C57">
        <w:rPr>
          <w:rFonts w:ascii="Times New Roman" w:hAnsi="Times New Roman"/>
          <w:color w:val="212121"/>
          <w:sz w:val="24"/>
          <w:szCs w:val="24"/>
          <w:shd w:val="clear" w:color="auto" w:fill="FFFFFF"/>
        </w:rPr>
        <w:t xml:space="preserve"> 2017 Jan 30. PMID: 28250992; PMCID: PMC5303863.Dísponível em:&lt;</w:t>
      </w:r>
      <w:hyperlink r:id="rId12" w:history="1">
        <w:r w:rsidRPr="00E24C57">
          <w:rPr>
            <w:rStyle w:val="Hyperlink"/>
            <w:rFonts w:ascii="Times New Roman" w:hAnsi="Times New Roman"/>
            <w:sz w:val="24"/>
            <w:szCs w:val="24"/>
            <w:shd w:val="clear" w:color="auto" w:fill="FFFFFF"/>
          </w:rPr>
          <w:t>https://pubmed.ncbi.nlm.nih.gov/28250992/</w:t>
        </w:r>
      </w:hyperlink>
      <w:r w:rsidRPr="00E24C57">
        <w:rPr>
          <w:rFonts w:ascii="Times New Roman" w:hAnsi="Times New Roman"/>
          <w:sz w:val="24"/>
          <w:szCs w:val="24"/>
          <w:shd w:val="clear" w:color="auto" w:fill="FFFFFF"/>
        </w:rPr>
        <w:t xml:space="preserve">&gt;. </w:t>
      </w:r>
      <w:r w:rsidRPr="00E24C57">
        <w:rPr>
          <w:rFonts w:ascii="Times New Roman" w:hAnsi="Times New Roman"/>
          <w:color w:val="212121"/>
          <w:sz w:val="24"/>
          <w:szCs w:val="24"/>
          <w:shd w:val="clear" w:color="auto" w:fill="FFFFFF"/>
        </w:rPr>
        <w:t>Acesso em: 18 de maio de 2021</w:t>
      </w:r>
    </w:p>
    <w:p w:rsidR="007B47A3" w:rsidRPr="00E24C57" w:rsidRDefault="007B47A3" w:rsidP="001157B1">
      <w:pPr>
        <w:spacing w:before="80" w:after="0" w:line="240" w:lineRule="auto"/>
        <w:ind w:left="567"/>
        <w:contextualSpacing/>
        <w:rPr>
          <w:rFonts w:ascii="Times New Roman" w:hAnsi="Times New Roman"/>
          <w:color w:val="212121"/>
          <w:sz w:val="24"/>
          <w:szCs w:val="24"/>
          <w:shd w:val="clear" w:color="auto" w:fill="FFFFFF"/>
        </w:rPr>
      </w:pPr>
    </w:p>
    <w:p w:rsidR="007B47A3" w:rsidRDefault="009E3AC9" w:rsidP="007B47A3">
      <w:pPr>
        <w:spacing w:before="80" w:line="240" w:lineRule="auto"/>
        <w:ind w:left="567" w:right="55" w:hanging="1"/>
        <w:rPr>
          <w:rFonts w:ascii="Times New Roman" w:hAnsi="Times New Roman"/>
          <w:color w:val="212121"/>
          <w:sz w:val="24"/>
          <w:szCs w:val="24"/>
          <w:shd w:val="clear" w:color="auto" w:fill="FFFFFF"/>
        </w:rPr>
      </w:pPr>
      <w:r w:rsidRPr="00E24C57">
        <w:rPr>
          <w:rFonts w:ascii="Times New Roman" w:hAnsi="Times New Roman"/>
          <w:color w:val="212121"/>
          <w:sz w:val="24"/>
          <w:szCs w:val="24"/>
          <w:shd w:val="clear" w:color="auto" w:fill="FFFFFF"/>
          <w:lang w:val="en-US"/>
        </w:rPr>
        <w:t xml:space="preserve">Cunningham DA, </w:t>
      </w:r>
      <w:proofErr w:type="spellStart"/>
      <w:r w:rsidRPr="00E24C57">
        <w:rPr>
          <w:rFonts w:ascii="Times New Roman" w:hAnsi="Times New Roman"/>
          <w:color w:val="212121"/>
          <w:sz w:val="24"/>
          <w:szCs w:val="24"/>
          <w:shd w:val="clear" w:color="auto" w:fill="FFFFFF"/>
          <w:lang w:val="en-US"/>
        </w:rPr>
        <w:t>Varnerin</w:t>
      </w:r>
      <w:proofErr w:type="spellEnd"/>
      <w:r w:rsidRPr="00E24C57">
        <w:rPr>
          <w:rFonts w:ascii="Times New Roman" w:hAnsi="Times New Roman"/>
          <w:color w:val="212121"/>
          <w:sz w:val="24"/>
          <w:szCs w:val="24"/>
          <w:shd w:val="clear" w:color="auto" w:fill="FFFFFF"/>
          <w:lang w:val="en-US"/>
        </w:rPr>
        <w:t xml:space="preserve"> N, Machado A, </w:t>
      </w:r>
      <w:proofErr w:type="spellStart"/>
      <w:r w:rsidRPr="00E24C57">
        <w:rPr>
          <w:rFonts w:ascii="Times New Roman" w:hAnsi="Times New Roman"/>
          <w:color w:val="212121"/>
          <w:sz w:val="24"/>
          <w:szCs w:val="24"/>
          <w:shd w:val="clear" w:color="auto" w:fill="FFFFFF"/>
          <w:lang w:val="en-US"/>
        </w:rPr>
        <w:t>Bonnett</w:t>
      </w:r>
      <w:proofErr w:type="spellEnd"/>
      <w:r w:rsidRPr="00E24C57">
        <w:rPr>
          <w:rFonts w:ascii="Times New Roman" w:hAnsi="Times New Roman"/>
          <w:color w:val="212121"/>
          <w:sz w:val="24"/>
          <w:szCs w:val="24"/>
          <w:shd w:val="clear" w:color="auto" w:fill="FFFFFF"/>
          <w:lang w:val="en-US"/>
        </w:rPr>
        <w:t xml:space="preserve"> C, </w:t>
      </w:r>
      <w:proofErr w:type="spellStart"/>
      <w:r w:rsidRPr="00E24C57">
        <w:rPr>
          <w:rFonts w:ascii="Times New Roman" w:hAnsi="Times New Roman"/>
          <w:color w:val="212121"/>
          <w:sz w:val="24"/>
          <w:szCs w:val="24"/>
          <w:shd w:val="clear" w:color="auto" w:fill="FFFFFF"/>
          <w:lang w:val="en-US"/>
        </w:rPr>
        <w:t>Janini</w:t>
      </w:r>
      <w:proofErr w:type="spellEnd"/>
      <w:r w:rsidRPr="00E24C57">
        <w:rPr>
          <w:rFonts w:ascii="Times New Roman" w:hAnsi="Times New Roman"/>
          <w:color w:val="212121"/>
          <w:sz w:val="24"/>
          <w:szCs w:val="24"/>
          <w:shd w:val="clear" w:color="auto" w:fill="FFFFFF"/>
          <w:lang w:val="en-US"/>
        </w:rPr>
        <w:t xml:space="preserve"> D, </w:t>
      </w:r>
      <w:proofErr w:type="spellStart"/>
      <w:r w:rsidRPr="00E24C57">
        <w:rPr>
          <w:rFonts w:ascii="Times New Roman" w:hAnsi="Times New Roman"/>
          <w:color w:val="212121"/>
          <w:sz w:val="24"/>
          <w:szCs w:val="24"/>
          <w:shd w:val="clear" w:color="auto" w:fill="FFFFFF"/>
          <w:lang w:val="en-US"/>
        </w:rPr>
        <w:t>Roelle</w:t>
      </w:r>
      <w:proofErr w:type="spellEnd"/>
      <w:r w:rsidRPr="00E24C57">
        <w:rPr>
          <w:rFonts w:ascii="Times New Roman" w:hAnsi="Times New Roman"/>
          <w:color w:val="212121"/>
          <w:sz w:val="24"/>
          <w:szCs w:val="24"/>
          <w:shd w:val="clear" w:color="auto" w:fill="FFFFFF"/>
          <w:lang w:val="en-US"/>
        </w:rPr>
        <w:t xml:space="preserve"> S, Potter-Baker K, </w:t>
      </w:r>
      <w:proofErr w:type="spellStart"/>
      <w:r w:rsidRPr="00E24C57">
        <w:rPr>
          <w:rFonts w:ascii="Times New Roman" w:hAnsi="Times New Roman"/>
          <w:color w:val="212121"/>
          <w:sz w:val="24"/>
          <w:szCs w:val="24"/>
          <w:shd w:val="clear" w:color="auto" w:fill="FFFFFF"/>
          <w:lang w:val="en-US"/>
        </w:rPr>
        <w:t>Sankarasubramanian</w:t>
      </w:r>
      <w:proofErr w:type="spellEnd"/>
      <w:r w:rsidRPr="00E24C57">
        <w:rPr>
          <w:rFonts w:ascii="Times New Roman" w:hAnsi="Times New Roman"/>
          <w:color w:val="212121"/>
          <w:sz w:val="24"/>
          <w:szCs w:val="24"/>
          <w:shd w:val="clear" w:color="auto" w:fill="FFFFFF"/>
          <w:lang w:val="en-US"/>
        </w:rPr>
        <w:t xml:space="preserve"> V, Wang X, Yue G, Plow EB. </w:t>
      </w:r>
      <w:r w:rsidRPr="00E24C57">
        <w:rPr>
          <w:rFonts w:ascii="Times New Roman" w:hAnsi="Times New Roman"/>
          <w:b/>
          <w:color w:val="212121"/>
          <w:sz w:val="24"/>
          <w:szCs w:val="24"/>
          <w:shd w:val="clear" w:color="auto" w:fill="FFFFFF"/>
          <w:lang w:val="en-US"/>
        </w:rPr>
        <w:t xml:space="preserve">Stimulation targeting higher motor areas in stroke rehabilitation: A proof-of-concept, randomized, double-blinded placebo-controlled study of effectiveness and underlying </w:t>
      </w:r>
      <w:proofErr w:type="spellStart"/>
      <w:r w:rsidRPr="00E24C57">
        <w:rPr>
          <w:rFonts w:ascii="Times New Roman" w:hAnsi="Times New Roman"/>
          <w:b/>
          <w:color w:val="212121"/>
          <w:sz w:val="24"/>
          <w:szCs w:val="24"/>
          <w:shd w:val="clear" w:color="auto" w:fill="FFFFFF"/>
          <w:lang w:val="en-US"/>
        </w:rPr>
        <w:t>mechanisms.</w:t>
      </w:r>
      <w:r w:rsidRPr="00E24C57">
        <w:rPr>
          <w:rFonts w:ascii="Times New Roman" w:hAnsi="Times New Roman"/>
          <w:color w:val="212121"/>
          <w:sz w:val="24"/>
          <w:szCs w:val="24"/>
          <w:shd w:val="clear" w:color="auto" w:fill="FFFFFF"/>
          <w:lang w:val="en-US"/>
        </w:rPr>
        <w:t>Restor</w:t>
      </w:r>
      <w:proofErr w:type="spellEnd"/>
      <w:r w:rsidRPr="00E24C57">
        <w:rPr>
          <w:rFonts w:ascii="Times New Roman" w:hAnsi="Times New Roman"/>
          <w:color w:val="212121"/>
          <w:sz w:val="24"/>
          <w:szCs w:val="24"/>
          <w:shd w:val="clear" w:color="auto" w:fill="FFFFFF"/>
          <w:lang w:val="en-US"/>
        </w:rPr>
        <w:t xml:space="preserve"> </w:t>
      </w:r>
      <w:proofErr w:type="spellStart"/>
      <w:r w:rsidRPr="00E24C57">
        <w:rPr>
          <w:rFonts w:ascii="Times New Roman" w:hAnsi="Times New Roman"/>
          <w:color w:val="212121"/>
          <w:sz w:val="24"/>
          <w:szCs w:val="24"/>
          <w:shd w:val="clear" w:color="auto" w:fill="FFFFFF"/>
          <w:lang w:val="en-US"/>
        </w:rPr>
        <w:t>Neurol</w:t>
      </w:r>
      <w:proofErr w:type="spellEnd"/>
      <w:r w:rsidRPr="00E24C57">
        <w:rPr>
          <w:rFonts w:ascii="Times New Roman" w:hAnsi="Times New Roman"/>
          <w:color w:val="212121"/>
          <w:sz w:val="24"/>
          <w:szCs w:val="24"/>
          <w:shd w:val="clear" w:color="auto" w:fill="FFFFFF"/>
          <w:lang w:val="en-US"/>
        </w:rPr>
        <w:t xml:space="preserve"> </w:t>
      </w:r>
      <w:proofErr w:type="spellStart"/>
      <w:r w:rsidRPr="00E24C57">
        <w:rPr>
          <w:rFonts w:ascii="Times New Roman" w:hAnsi="Times New Roman"/>
          <w:color w:val="212121"/>
          <w:sz w:val="24"/>
          <w:szCs w:val="24"/>
          <w:shd w:val="clear" w:color="auto" w:fill="FFFFFF"/>
          <w:lang w:val="en-US"/>
        </w:rPr>
        <w:t>Neurosci</w:t>
      </w:r>
      <w:proofErr w:type="spellEnd"/>
      <w:r w:rsidRPr="00E24C57">
        <w:rPr>
          <w:rFonts w:ascii="Times New Roman" w:hAnsi="Times New Roman"/>
          <w:color w:val="212121"/>
          <w:sz w:val="24"/>
          <w:szCs w:val="24"/>
          <w:shd w:val="clear" w:color="auto" w:fill="FFFFFF"/>
          <w:lang w:val="en-US"/>
        </w:rPr>
        <w:t xml:space="preserve">. </w:t>
      </w:r>
      <w:r w:rsidRPr="00E24C57">
        <w:rPr>
          <w:rFonts w:ascii="Times New Roman" w:hAnsi="Times New Roman"/>
          <w:color w:val="212121"/>
          <w:sz w:val="24"/>
          <w:szCs w:val="24"/>
          <w:shd w:val="clear" w:color="auto" w:fill="FFFFFF"/>
        </w:rPr>
        <w:t xml:space="preserve">2015;33(6):911-26. </w:t>
      </w:r>
      <w:proofErr w:type="spellStart"/>
      <w:r w:rsidRPr="00E24C57">
        <w:rPr>
          <w:rFonts w:ascii="Times New Roman" w:hAnsi="Times New Roman"/>
          <w:color w:val="212121"/>
          <w:sz w:val="24"/>
          <w:szCs w:val="24"/>
          <w:shd w:val="clear" w:color="auto" w:fill="FFFFFF"/>
        </w:rPr>
        <w:t>doi</w:t>
      </w:r>
      <w:proofErr w:type="spellEnd"/>
      <w:r w:rsidRPr="00E24C57">
        <w:rPr>
          <w:rFonts w:ascii="Times New Roman" w:hAnsi="Times New Roman"/>
          <w:color w:val="212121"/>
          <w:sz w:val="24"/>
          <w:szCs w:val="24"/>
          <w:shd w:val="clear" w:color="auto" w:fill="FFFFFF"/>
        </w:rPr>
        <w:t xml:space="preserve">: 10.3233/RNN-150574. PMID: 26484700; PMCID: PMC4732280. Disponível em: </w:t>
      </w:r>
      <w:hyperlink r:id="rId13" w:history="1">
        <w:r w:rsidRPr="00E24C57">
          <w:rPr>
            <w:rStyle w:val="Hyperlink"/>
            <w:rFonts w:ascii="Times New Roman" w:hAnsi="Times New Roman"/>
            <w:sz w:val="24"/>
            <w:szCs w:val="24"/>
            <w:shd w:val="clear" w:color="auto" w:fill="FFFFFF"/>
          </w:rPr>
          <w:t>https://pubmed.ncbi.nlm.nih.gov/26484700/</w:t>
        </w:r>
      </w:hyperlink>
      <w:r w:rsidRPr="00E24C57">
        <w:rPr>
          <w:rFonts w:ascii="Times New Roman" w:hAnsi="Times New Roman"/>
          <w:sz w:val="24"/>
          <w:szCs w:val="24"/>
          <w:shd w:val="clear" w:color="auto" w:fill="FFFFFF"/>
        </w:rPr>
        <w:t xml:space="preserve">. </w:t>
      </w:r>
      <w:r w:rsidRPr="00E24C57">
        <w:rPr>
          <w:rFonts w:ascii="Times New Roman" w:hAnsi="Times New Roman"/>
          <w:color w:val="212121"/>
          <w:sz w:val="24"/>
          <w:szCs w:val="24"/>
          <w:shd w:val="clear" w:color="auto" w:fill="FFFFFF"/>
        </w:rPr>
        <w:t>Acesso em: 21 de maio de 2021.</w:t>
      </w:r>
    </w:p>
    <w:p w:rsidR="007B47A3" w:rsidRPr="00E24C57" w:rsidRDefault="007B47A3" w:rsidP="007B47A3">
      <w:pPr>
        <w:spacing w:before="80" w:line="240" w:lineRule="auto"/>
        <w:ind w:left="567" w:right="55" w:hanging="1"/>
        <w:rPr>
          <w:rFonts w:ascii="Times New Roman" w:hAnsi="Times New Roman"/>
          <w:color w:val="212121"/>
          <w:sz w:val="24"/>
          <w:szCs w:val="24"/>
          <w:shd w:val="clear" w:color="auto" w:fill="FFFFFF"/>
        </w:rPr>
      </w:pPr>
    </w:p>
    <w:p w:rsidR="007B47A3" w:rsidRDefault="009E3AC9" w:rsidP="007B47A3">
      <w:pPr>
        <w:shd w:val="clear" w:color="auto" w:fill="FFFFFF"/>
        <w:spacing w:before="80" w:line="240" w:lineRule="auto"/>
        <w:ind w:left="567"/>
        <w:rPr>
          <w:rFonts w:ascii="Times New Roman" w:hAnsi="Times New Roman"/>
          <w:color w:val="212121"/>
          <w:sz w:val="24"/>
          <w:szCs w:val="24"/>
        </w:rPr>
      </w:pPr>
      <w:proofErr w:type="spellStart"/>
      <w:r w:rsidRPr="00E24C57">
        <w:rPr>
          <w:rFonts w:ascii="Times New Roman" w:hAnsi="Times New Roman"/>
          <w:color w:val="212121"/>
          <w:sz w:val="24"/>
          <w:szCs w:val="24"/>
          <w:lang w:val="en-US"/>
        </w:rPr>
        <w:t>Corbetta</w:t>
      </w:r>
      <w:proofErr w:type="spellEnd"/>
      <w:r w:rsidRPr="00E24C57">
        <w:rPr>
          <w:rFonts w:ascii="Times New Roman" w:hAnsi="Times New Roman"/>
          <w:color w:val="212121"/>
          <w:sz w:val="24"/>
          <w:szCs w:val="24"/>
          <w:lang w:val="en-US"/>
        </w:rPr>
        <w:t xml:space="preserve"> D, </w:t>
      </w:r>
      <w:proofErr w:type="spellStart"/>
      <w:r w:rsidRPr="00E24C57">
        <w:rPr>
          <w:rFonts w:ascii="Times New Roman" w:hAnsi="Times New Roman"/>
          <w:color w:val="212121"/>
          <w:sz w:val="24"/>
          <w:szCs w:val="24"/>
          <w:lang w:val="en-US"/>
        </w:rPr>
        <w:t>Sirtori</w:t>
      </w:r>
      <w:proofErr w:type="spellEnd"/>
      <w:r w:rsidRPr="00E24C57">
        <w:rPr>
          <w:rFonts w:ascii="Times New Roman" w:hAnsi="Times New Roman"/>
          <w:color w:val="212121"/>
          <w:sz w:val="24"/>
          <w:szCs w:val="24"/>
          <w:lang w:val="en-US"/>
        </w:rPr>
        <w:t xml:space="preserve"> V, </w:t>
      </w:r>
      <w:proofErr w:type="spellStart"/>
      <w:r w:rsidRPr="00E24C57">
        <w:rPr>
          <w:rFonts w:ascii="Times New Roman" w:hAnsi="Times New Roman"/>
          <w:color w:val="212121"/>
          <w:sz w:val="24"/>
          <w:szCs w:val="24"/>
          <w:lang w:val="en-US"/>
        </w:rPr>
        <w:t>Castellini</w:t>
      </w:r>
      <w:proofErr w:type="spellEnd"/>
      <w:r w:rsidRPr="00E24C57">
        <w:rPr>
          <w:rFonts w:ascii="Times New Roman" w:hAnsi="Times New Roman"/>
          <w:color w:val="212121"/>
          <w:sz w:val="24"/>
          <w:szCs w:val="24"/>
          <w:lang w:val="en-US"/>
        </w:rPr>
        <w:t xml:space="preserve"> G, </w:t>
      </w:r>
      <w:proofErr w:type="spellStart"/>
      <w:r w:rsidRPr="00E24C57">
        <w:rPr>
          <w:rFonts w:ascii="Times New Roman" w:hAnsi="Times New Roman"/>
          <w:color w:val="212121"/>
          <w:sz w:val="24"/>
          <w:szCs w:val="24"/>
          <w:lang w:val="en-US"/>
        </w:rPr>
        <w:t>Moja</w:t>
      </w:r>
      <w:proofErr w:type="spellEnd"/>
      <w:r w:rsidRPr="00E24C57">
        <w:rPr>
          <w:rFonts w:ascii="Times New Roman" w:hAnsi="Times New Roman"/>
          <w:color w:val="212121"/>
          <w:sz w:val="24"/>
          <w:szCs w:val="24"/>
          <w:lang w:val="en-US"/>
        </w:rPr>
        <w:t xml:space="preserve"> L, </w:t>
      </w:r>
      <w:proofErr w:type="spellStart"/>
      <w:r w:rsidRPr="00E24C57">
        <w:rPr>
          <w:rFonts w:ascii="Times New Roman" w:hAnsi="Times New Roman"/>
          <w:color w:val="212121"/>
          <w:sz w:val="24"/>
          <w:szCs w:val="24"/>
          <w:lang w:val="en-US"/>
        </w:rPr>
        <w:t>Gatti</w:t>
      </w:r>
      <w:proofErr w:type="spellEnd"/>
      <w:r w:rsidRPr="00E24C57">
        <w:rPr>
          <w:rFonts w:ascii="Times New Roman" w:hAnsi="Times New Roman"/>
          <w:color w:val="212121"/>
          <w:sz w:val="24"/>
          <w:szCs w:val="24"/>
          <w:lang w:val="en-US"/>
        </w:rPr>
        <w:t xml:space="preserve"> R. </w:t>
      </w:r>
      <w:r w:rsidRPr="00E24C57">
        <w:rPr>
          <w:rFonts w:ascii="Times New Roman" w:hAnsi="Times New Roman"/>
          <w:b/>
          <w:color w:val="212121"/>
          <w:sz w:val="24"/>
          <w:szCs w:val="24"/>
          <w:lang w:val="en-US"/>
        </w:rPr>
        <w:t>Constraint-induced movement therapy for upper extremities in people with stroke.</w:t>
      </w:r>
      <w:r w:rsidRPr="00E24C57">
        <w:rPr>
          <w:rFonts w:ascii="Times New Roman" w:hAnsi="Times New Roman"/>
          <w:color w:val="212121"/>
          <w:sz w:val="24"/>
          <w:szCs w:val="24"/>
          <w:lang w:val="en-US"/>
        </w:rPr>
        <w:t xml:space="preserve"> Cochrane Database </w:t>
      </w:r>
      <w:proofErr w:type="spellStart"/>
      <w:r w:rsidRPr="00E24C57">
        <w:rPr>
          <w:rFonts w:ascii="Times New Roman" w:hAnsi="Times New Roman"/>
          <w:color w:val="212121"/>
          <w:sz w:val="24"/>
          <w:szCs w:val="24"/>
          <w:lang w:val="en-US"/>
        </w:rPr>
        <w:t>Syst</w:t>
      </w:r>
      <w:proofErr w:type="spellEnd"/>
      <w:r w:rsidRPr="00E24C57">
        <w:rPr>
          <w:rFonts w:ascii="Times New Roman" w:hAnsi="Times New Roman"/>
          <w:color w:val="212121"/>
          <w:sz w:val="24"/>
          <w:szCs w:val="24"/>
          <w:lang w:val="en-US"/>
        </w:rPr>
        <w:t xml:space="preserve"> Rev. 2015 Oct 8;2015 (10):CD004433. </w:t>
      </w:r>
      <w:proofErr w:type="spellStart"/>
      <w:r w:rsidRPr="00E24C57">
        <w:rPr>
          <w:rFonts w:ascii="Times New Roman" w:hAnsi="Times New Roman"/>
          <w:color w:val="212121"/>
          <w:sz w:val="24"/>
          <w:szCs w:val="24"/>
          <w:lang w:val="en-US"/>
        </w:rPr>
        <w:t>doi</w:t>
      </w:r>
      <w:proofErr w:type="spellEnd"/>
      <w:r w:rsidRPr="00E24C57">
        <w:rPr>
          <w:rFonts w:ascii="Times New Roman" w:hAnsi="Times New Roman"/>
          <w:color w:val="212121"/>
          <w:sz w:val="24"/>
          <w:szCs w:val="24"/>
          <w:lang w:val="en-US"/>
        </w:rPr>
        <w:t xml:space="preserve">: 10.1002/14651858.CD004433.pub3.  </w:t>
      </w:r>
      <w:r w:rsidRPr="00E24C57">
        <w:rPr>
          <w:rFonts w:ascii="Times New Roman" w:hAnsi="Times New Roman"/>
          <w:sz w:val="24"/>
          <w:szCs w:val="24"/>
          <w:lang w:val="en-US"/>
        </w:rPr>
        <w:t xml:space="preserve">Constraint-induced movement therapy for upper extremities in people with stroke - PubMed (nih.gov) </w:t>
      </w:r>
      <w:r w:rsidRPr="00E24C57">
        <w:rPr>
          <w:rFonts w:ascii="Times New Roman" w:hAnsi="Times New Roman"/>
          <w:color w:val="212121"/>
          <w:sz w:val="24"/>
          <w:szCs w:val="24"/>
          <w:lang w:val="en-US"/>
        </w:rPr>
        <w:t xml:space="preserve">26446577; PMCID: PMC6465192. </w:t>
      </w:r>
      <w:r w:rsidRPr="00E24C57">
        <w:rPr>
          <w:rFonts w:ascii="Times New Roman" w:hAnsi="Times New Roman"/>
          <w:color w:val="212121"/>
          <w:sz w:val="24"/>
          <w:szCs w:val="24"/>
        </w:rPr>
        <w:t>Acesso em 24 abr.2021.</w:t>
      </w:r>
    </w:p>
    <w:p w:rsidR="007B47A3" w:rsidRPr="00E24C57" w:rsidRDefault="007B47A3" w:rsidP="007B47A3">
      <w:pPr>
        <w:shd w:val="clear" w:color="auto" w:fill="FFFFFF"/>
        <w:spacing w:before="80" w:line="240" w:lineRule="auto"/>
        <w:ind w:left="567"/>
        <w:rPr>
          <w:rFonts w:ascii="Times New Roman" w:hAnsi="Times New Roman"/>
          <w:color w:val="212121"/>
          <w:sz w:val="24"/>
          <w:szCs w:val="24"/>
        </w:rPr>
      </w:pPr>
    </w:p>
    <w:p w:rsidR="009E3AC9" w:rsidRPr="00E24C57" w:rsidRDefault="009E3AC9" w:rsidP="001157B1">
      <w:pPr>
        <w:shd w:val="clear" w:color="auto" w:fill="FFFFFF"/>
        <w:spacing w:before="80" w:line="240" w:lineRule="auto"/>
        <w:ind w:left="567"/>
        <w:rPr>
          <w:rFonts w:ascii="Times New Roman" w:hAnsi="Times New Roman"/>
          <w:color w:val="212121"/>
          <w:sz w:val="24"/>
          <w:szCs w:val="24"/>
        </w:rPr>
      </w:pPr>
      <w:r w:rsidRPr="00E24C57">
        <w:rPr>
          <w:rFonts w:ascii="Times New Roman" w:hAnsi="Times New Roman"/>
          <w:sz w:val="24"/>
          <w:szCs w:val="24"/>
        </w:rPr>
        <w:t xml:space="preserve">DAVIES, P. M. </w:t>
      </w:r>
      <w:r w:rsidRPr="00E24C57">
        <w:rPr>
          <w:rFonts w:ascii="Times New Roman" w:hAnsi="Times New Roman"/>
          <w:b/>
          <w:sz w:val="24"/>
          <w:szCs w:val="24"/>
        </w:rPr>
        <w:t>Hemiplegia: tratamento para pacientes após AVC e outras lesões cerebrais.</w:t>
      </w:r>
      <w:r w:rsidRPr="00E24C57">
        <w:rPr>
          <w:rFonts w:ascii="Times New Roman" w:hAnsi="Times New Roman"/>
          <w:sz w:val="24"/>
          <w:szCs w:val="24"/>
        </w:rPr>
        <w:t xml:space="preserve"> 2. ed. rev. e </w:t>
      </w:r>
      <w:proofErr w:type="spellStart"/>
      <w:r w:rsidRPr="00E24C57">
        <w:rPr>
          <w:rFonts w:ascii="Times New Roman" w:hAnsi="Times New Roman"/>
          <w:sz w:val="24"/>
          <w:szCs w:val="24"/>
        </w:rPr>
        <w:t>ampl</w:t>
      </w:r>
      <w:proofErr w:type="spellEnd"/>
      <w:r w:rsidRPr="00E24C57">
        <w:rPr>
          <w:rFonts w:ascii="Times New Roman" w:hAnsi="Times New Roman"/>
          <w:sz w:val="24"/>
          <w:szCs w:val="24"/>
        </w:rPr>
        <w:t>. Barueri, São Paulo: Manole, 2008.</w:t>
      </w:r>
    </w:p>
    <w:p w:rsidR="007B47A3" w:rsidRDefault="009E3AC9" w:rsidP="007B47A3">
      <w:pPr>
        <w:spacing w:before="80" w:line="240" w:lineRule="auto"/>
        <w:ind w:left="567" w:right="55" w:hanging="1"/>
        <w:rPr>
          <w:rFonts w:ascii="Times New Roman" w:hAnsi="Times New Roman"/>
          <w:color w:val="000000"/>
          <w:sz w:val="24"/>
          <w:szCs w:val="24"/>
          <w:lang w:val="en-US"/>
        </w:rPr>
      </w:pPr>
      <w:r w:rsidRPr="00E24C57">
        <w:rPr>
          <w:rFonts w:ascii="Times New Roman" w:hAnsi="Times New Roman"/>
          <w:color w:val="000000"/>
          <w:sz w:val="24"/>
          <w:szCs w:val="24"/>
        </w:rPr>
        <w:t xml:space="preserve">FACULDADE ASSIS GURGACZ, FASUL, FACULDADE DOM BOSCO, </w:t>
      </w:r>
      <w:r w:rsidRPr="00E24C57">
        <w:rPr>
          <w:rFonts w:ascii="Times New Roman" w:hAnsi="Times New Roman"/>
          <w:b/>
          <w:bCs/>
          <w:color w:val="000000"/>
          <w:sz w:val="24"/>
          <w:szCs w:val="24"/>
        </w:rPr>
        <w:t xml:space="preserve">Manual para  elaboração e apresentação de trabalhos acadêmicos. </w:t>
      </w:r>
      <w:r w:rsidRPr="00E24C57">
        <w:rPr>
          <w:rFonts w:ascii="Times New Roman" w:hAnsi="Times New Roman"/>
          <w:color w:val="000000"/>
          <w:sz w:val="24"/>
          <w:szCs w:val="24"/>
        </w:rPr>
        <w:t xml:space="preserve">2021. Cascavel/ PR: FAG, 2021.  Disponível em &lt;https://www.fag.edu.br/novo/arquivos/academico-online/manual-de-normas 2015-22.pdf&gt;. </w:t>
      </w:r>
      <w:proofErr w:type="spellStart"/>
      <w:r w:rsidRPr="00E24C57">
        <w:rPr>
          <w:rFonts w:ascii="Times New Roman" w:hAnsi="Times New Roman"/>
          <w:color w:val="000000"/>
          <w:sz w:val="24"/>
          <w:szCs w:val="24"/>
          <w:lang w:val="en-US"/>
        </w:rPr>
        <w:t>Acesso</w:t>
      </w:r>
      <w:proofErr w:type="spellEnd"/>
      <w:r w:rsidRPr="00E24C57">
        <w:rPr>
          <w:rFonts w:ascii="Times New Roman" w:hAnsi="Times New Roman"/>
          <w:color w:val="000000"/>
          <w:sz w:val="24"/>
          <w:szCs w:val="24"/>
          <w:lang w:val="en-US"/>
        </w:rPr>
        <w:t xml:space="preserve"> </w:t>
      </w:r>
      <w:proofErr w:type="spellStart"/>
      <w:r w:rsidRPr="00E24C57">
        <w:rPr>
          <w:rFonts w:ascii="Times New Roman" w:hAnsi="Times New Roman"/>
          <w:color w:val="000000"/>
          <w:sz w:val="24"/>
          <w:szCs w:val="24"/>
          <w:lang w:val="en-US"/>
        </w:rPr>
        <w:t>em</w:t>
      </w:r>
      <w:proofErr w:type="spellEnd"/>
      <w:r w:rsidRPr="00E24C57">
        <w:rPr>
          <w:rFonts w:ascii="Times New Roman" w:hAnsi="Times New Roman"/>
          <w:color w:val="000000"/>
          <w:sz w:val="24"/>
          <w:szCs w:val="24"/>
          <w:lang w:val="en-US"/>
        </w:rPr>
        <w:t xml:space="preserve"> 23 abr. de 2021.</w:t>
      </w:r>
    </w:p>
    <w:p w:rsidR="007B47A3" w:rsidRPr="00E24C57" w:rsidRDefault="007B47A3" w:rsidP="007B47A3">
      <w:pPr>
        <w:spacing w:before="80" w:line="240" w:lineRule="auto"/>
        <w:ind w:left="567" w:right="55" w:hanging="1"/>
        <w:rPr>
          <w:rFonts w:ascii="Times New Roman" w:hAnsi="Times New Roman"/>
          <w:color w:val="000000"/>
          <w:sz w:val="24"/>
          <w:szCs w:val="24"/>
          <w:lang w:val="en-US"/>
        </w:rPr>
      </w:pPr>
    </w:p>
    <w:p w:rsidR="00E24C57" w:rsidRDefault="00E24C57" w:rsidP="001157B1">
      <w:pPr>
        <w:spacing w:before="80" w:line="240" w:lineRule="auto"/>
        <w:ind w:left="567"/>
        <w:rPr>
          <w:rFonts w:ascii="Times New Roman" w:hAnsi="Times New Roman"/>
          <w:color w:val="000000"/>
          <w:sz w:val="24"/>
          <w:szCs w:val="24"/>
          <w:shd w:val="clear" w:color="auto" w:fill="FFFFFF"/>
        </w:rPr>
      </w:pPr>
      <w:r w:rsidRPr="00E24C57">
        <w:rPr>
          <w:rFonts w:ascii="Times New Roman" w:hAnsi="Times New Roman"/>
          <w:color w:val="000000"/>
          <w:sz w:val="24"/>
          <w:szCs w:val="24"/>
          <w:shd w:val="clear" w:color="auto" w:fill="FFFFFF"/>
        </w:rPr>
        <w:t>FRANCESCHINI, M., LA PORTA F., AGOSTI M., MASSUCCI M., ICR2 GROUP</w:t>
      </w:r>
      <w:r w:rsidRPr="00E24C57">
        <w:rPr>
          <w:rFonts w:ascii="Times New Roman" w:hAnsi="Times New Roman"/>
          <w:b/>
          <w:bCs/>
          <w:color w:val="000000"/>
          <w:sz w:val="24"/>
          <w:szCs w:val="24"/>
          <w:shd w:val="clear" w:color="auto" w:fill="FFFFFF"/>
        </w:rPr>
        <w:t xml:space="preserve">. </w:t>
      </w:r>
      <w:r w:rsidRPr="00E24C57">
        <w:rPr>
          <w:rFonts w:ascii="Times New Roman" w:hAnsi="Times New Roman"/>
          <w:b/>
          <w:bCs/>
          <w:color w:val="000000"/>
          <w:sz w:val="24"/>
          <w:szCs w:val="24"/>
          <w:shd w:val="clear" w:color="auto" w:fill="FFFFFF"/>
          <w:lang w:val="en-US"/>
        </w:rPr>
        <w:t xml:space="preserve">Is </w:t>
      </w:r>
      <w:r w:rsidRPr="00E24C57">
        <w:rPr>
          <w:rFonts w:ascii="Times New Roman" w:hAnsi="Times New Roman"/>
          <w:b/>
          <w:bCs/>
          <w:color w:val="000000"/>
          <w:sz w:val="24"/>
          <w:szCs w:val="24"/>
          <w:lang w:val="en-US"/>
        </w:rPr>
        <w:t>health</w:t>
      </w:r>
      <w:r w:rsidRPr="00E24C57">
        <w:rPr>
          <w:rFonts w:ascii="Times New Roman" w:hAnsi="Times New Roman"/>
          <w:b/>
          <w:bCs/>
          <w:color w:val="000000"/>
          <w:sz w:val="24"/>
          <w:szCs w:val="24"/>
          <w:shd w:val="clear" w:color="auto" w:fill="FFFFFF"/>
          <w:lang w:val="en-US"/>
        </w:rPr>
        <w:t xml:space="preserve">‐related quality of life of stroke patients influenced by neurological impairments at </w:t>
      </w:r>
      <w:r w:rsidRPr="00E24C57">
        <w:rPr>
          <w:rFonts w:ascii="Times New Roman" w:hAnsi="Times New Roman"/>
          <w:b/>
          <w:bCs/>
          <w:color w:val="000000"/>
          <w:sz w:val="24"/>
          <w:szCs w:val="24"/>
          <w:lang w:val="en-US"/>
        </w:rPr>
        <w:t>one</w:t>
      </w:r>
      <w:r w:rsidRPr="00E24C57">
        <w:rPr>
          <w:rFonts w:ascii="Times New Roman" w:hAnsi="Times New Roman"/>
          <w:b/>
          <w:bCs/>
          <w:color w:val="000000"/>
          <w:sz w:val="24"/>
          <w:szCs w:val="24"/>
          <w:shd w:val="clear" w:color="auto" w:fill="FFFFFF"/>
          <w:lang w:val="en-US"/>
        </w:rPr>
        <w:t xml:space="preserve"> year after stroke? </w:t>
      </w:r>
      <w:r w:rsidRPr="00E24C57">
        <w:rPr>
          <w:rFonts w:ascii="Times New Roman" w:hAnsi="Times New Roman"/>
          <w:color w:val="000000"/>
          <w:sz w:val="24"/>
          <w:szCs w:val="24"/>
          <w:shd w:val="clear" w:color="auto" w:fill="FFFFFF"/>
          <w:lang w:val="en-US"/>
        </w:rPr>
        <w:t xml:space="preserve">2010. European Journal of Physical and Rehabilitation </w:t>
      </w:r>
      <w:r w:rsidRPr="00E24C57">
        <w:rPr>
          <w:rFonts w:ascii="Times New Roman" w:hAnsi="Times New Roman"/>
          <w:color w:val="000000"/>
          <w:sz w:val="24"/>
          <w:szCs w:val="24"/>
          <w:lang w:val="en-US"/>
        </w:rPr>
        <w:t>Medicine</w:t>
      </w:r>
      <w:r w:rsidRPr="00E24C57">
        <w:rPr>
          <w:rFonts w:ascii="Times New Roman" w:hAnsi="Times New Roman"/>
          <w:color w:val="000000"/>
          <w:sz w:val="24"/>
          <w:szCs w:val="24"/>
          <w:shd w:val="clear" w:color="auto" w:fill="FFFFFF"/>
          <w:lang w:val="en-US"/>
        </w:rPr>
        <w:t xml:space="preserve"> 2010; 46(3):389‐99. </w:t>
      </w:r>
      <w:r w:rsidRPr="00E24C57">
        <w:rPr>
          <w:rFonts w:ascii="Times New Roman" w:hAnsi="Times New Roman"/>
          <w:color w:val="000000"/>
          <w:sz w:val="24"/>
          <w:szCs w:val="24"/>
          <w:shd w:val="clear" w:color="auto" w:fill="FFFFFF"/>
        </w:rPr>
        <w:t>[PUBMED: 20927005]. Disponível em: &lt;</w:t>
      </w:r>
      <w:r w:rsidRPr="00E24C57">
        <w:rPr>
          <w:rFonts w:ascii="Times New Roman" w:hAnsi="Times New Roman"/>
          <w:color w:val="000000"/>
          <w:sz w:val="24"/>
          <w:szCs w:val="24"/>
        </w:rPr>
        <w:t> </w:t>
      </w:r>
      <w:r w:rsidRPr="00E24C57">
        <w:rPr>
          <w:rFonts w:ascii="Times New Roman" w:hAnsi="Times New Roman"/>
          <w:color w:val="000000"/>
          <w:sz w:val="24"/>
          <w:szCs w:val="24"/>
          <w:shd w:val="clear" w:color="auto" w:fill="FFFFFF"/>
        </w:rPr>
        <w:t>https://pubmed.ncbi.nlm.nih.gov/20927005/&gt;. Acesso em 20 abr. de 2021.</w:t>
      </w:r>
    </w:p>
    <w:p w:rsidR="007B47A3" w:rsidRPr="00E24C57" w:rsidRDefault="007B47A3" w:rsidP="001157B1">
      <w:pPr>
        <w:spacing w:before="80" w:line="240" w:lineRule="auto"/>
        <w:ind w:left="567"/>
        <w:rPr>
          <w:rFonts w:ascii="Times New Roman" w:hAnsi="Times New Roman"/>
          <w:color w:val="000000"/>
          <w:sz w:val="24"/>
          <w:szCs w:val="24"/>
          <w:shd w:val="clear" w:color="auto" w:fill="FFFFFF"/>
        </w:rPr>
      </w:pPr>
    </w:p>
    <w:p w:rsidR="00E24C57" w:rsidRDefault="00E24C57" w:rsidP="001157B1">
      <w:pPr>
        <w:spacing w:before="80" w:line="240" w:lineRule="auto"/>
        <w:ind w:left="567"/>
        <w:rPr>
          <w:rFonts w:ascii="Times New Roman" w:hAnsi="Times New Roman"/>
          <w:sz w:val="24"/>
          <w:szCs w:val="24"/>
        </w:rPr>
      </w:pPr>
      <w:r w:rsidRPr="00E24C57">
        <w:rPr>
          <w:rFonts w:ascii="Times New Roman" w:hAnsi="Times New Roman"/>
          <w:sz w:val="24"/>
          <w:szCs w:val="24"/>
        </w:rPr>
        <w:t xml:space="preserve">FERREIRA, M.S.; SALLES, I.C.D.; BRANCO, D.G.; GASPAR, A.P. </w:t>
      </w:r>
      <w:r w:rsidRPr="00E24C57">
        <w:rPr>
          <w:rFonts w:ascii="Times New Roman" w:hAnsi="Times New Roman"/>
          <w:b/>
          <w:sz w:val="24"/>
          <w:szCs w:val="24"/>
        </w:rPr>
        <w:t>Reabilitação nas Lesões Encefálicas Adquiridas (LEA</w:t>
      </w:r>
      <w:r w:rsidRPr="00E24C57">
        <w:rPr>
          <w:rFonts w:ascii="Times New Roman" w:hAnsi="Times New Roman"/>
          <w:sz w:val="24"/>
          <w:szCs w:val="24"/>
        </w:rPr>
        <w:t xml:space="preserve">). In: FERNANDES, A.C.; RAMOS, A.C.R.; CASALIS, M.E.P.; HEBERT, S.K. </w:t>
      </w:r>
      <w:r w:rsidRPr="00E24C57">
        <w:rPr>
          <w:rFonts w:ascii="Times New Roman" w:hAnsi="Times New Roman"/>
          <w:b/>
          <w:sz w:val="24"/>
          <w:szCs w:val="24"/>
        </w:rPr>
        <w:t>Medicina e reabilitação: princípios e prática.</w:t>
      </w:r>
      <w:r w:rsidRPr="00E24C57">
        <w:rPr>
          <w:rFonts w:ascii="Times New Roman" w:hAnsi="Times New Roman"/>
          <w:sz w:val="24"/>
          <w:szCs w:val="24"/>
        </w:rPr>
        <w:t xml:space="preserve"> São Paulo: Artes Médicas, 2007. cap. 10, p. 173-188.</w:t>
      </w:r>
    </w:p>
    <w:p w:rsidR="007B47A3" w:rsidRPr="00E24C57" w:rsidRDefault="007B47A3" w:rsidP="001157B1">
      <w:pPr>
        <w:spacing w:before="80" w:line="240" w:lineRule="auto"/>
        <w:ind w:left="567"/>
        <w:rPr>
          <w:rFonts w:ascii="Times New Roman" w:hAnsi="Times New Roman"/>
          <w:sz w:val="24"/>
          <w:szCs w:val="24"/>
        </w:rPr>
      </w:pPr>
    </w:p>
    <w:p w:rsidR="009E3AC9" w:rsidRDefault="009E3AC9" w:rsidP="001157B1">
      <w:pPr>
        <w:spacing w:before="80" w:after="100" w:afterAutospacing="1" w:line="240" w:lineRule="auto"/>
        <w:ind w:left="567" w:right="227"/>
        <w:rPr>
          <w:rFonts w:ascii="Times New Roman" w:hAnsi="Times New Roman"/>
          <w:sz w:val="24"/>
          <w:szCs w:val="24"/>
        </w:rPr>
      </w:pPr>
      <w:r w:rsidRPr="00E24C57">
        <w:rPr>
          <w:rFonts w:ascii="Times New Roman" w:hAnsi="Times New Roman"/>
          <w:sz w:val="24"/>
          <w:szCs w:val="24"/>
        </w:rPr>
        <w:t xml:space="preserve">GARCIA, Rafael Eras. </w:t>
      </w:r>
      <w:r w:rsidRPr="00E24C57">
        <w:rPr>
          <w:rFonts w:ascii="Times New Roman" w:hAnsi="Times New Roman"/>
          <w:b/>
          <w:sz w:val="24"/>
          <w:szCs w:val="24"/>
        </w:rPr>
        <w:t>Efeitos de terapia por contensão induzida modificada na funcionalidade e no desempenho ocupacional pós-AVC</w:t>
      </w:r>
      <w:r w:rsidRPr="00E24C57">
        <w:rPr>
          <w:rFonts w:ascii="Times New Roman" w:hAnsi="Times New Roman"/>
          <w:sz w:val="24"/>
          <w:szCs w:val="24"/>
        </w:rPr>
        <w:t>: estudo randomizado controlado. 2018. Dissertação (Mestrado em Terapia Ocupacional) – Universidade Federal de São Carlos, São Carlos, 2018. Disponível</w:t>
      </w:r>
      <w:r w:rsidR="004A2CC9">
        <w:rPr>
          <w:rFonts w:ascii="Times New Roman" w:hAnsi="Times New Roman"/>
          <w:sz w:val="24"/>
          <w:szCs w:val="24"/>
        </w:rPr>
        <w:t xml:space="preserve"> </w:t>
      </w:r>
      <w:r w:rsidRPr="00E24C57">
        <w:rPr>
          <w:rFonts w:ascii="Times New Roman" w:hAnsi="Times New Roman"/>
          <w:sz w:val="24"/>
          <w:szCs w:val="24"/>
        </w:rPr>
        <w:t>em: &lt;</w:t>
      </w:r>
      <w:hyperlink r:id="rId14" w:history="1">
        <w:r w:rsidRPr="00E24C57">
          <w:rPr>
            <w:rFonts w:ascii="Times New Roman" w:hAnsi="Times New Roman"/>
            <w:sz w:val="24"/>
            <w:szCs w:val="24"/>
          </w:rPr>
          <w:t>https://repositorio.ufscar.br/handle/ufscar/9750</w:t>
        </w:r>
      </w:hyperlink>
      <w:r w:rsidRPr="00E24C57">
        <w:rPr>
          <w:rFonts w:ascii="Times New Roman" w:hAnsi="Times New Roman"/>
          <w:sz w:val="24"/>
          <w:szCs w:val="24"/>
          <w:shd w:val="clear" w:color="auto" w:fill="F5F5F5"/>
        </w:rPr>
        <w:t>.&gt;</w:t>
      </w:r>
      <w:r w:rsidRPr="00E24C57">
        <w:rPr>
          <w:rFonts w:ascii="Times New Roman" w:hAnsi="Times New Roman"/>
          <w:sz w:val="24"/>
          <w:szCs w:val="24"/>
        </w:rPr>
        <w:t xml:space="preserve">Acesso em 23 abr. 2021. </w:t>
      </w:r>
    </w:p>
    <w:p w:rsidR="007B47A3" w:rsidRPr="00E24C57" w:rsidRDefault="007B47A3" w:rsidP="001157B1">
      <w:pPr>
        <w:spacing w:before="80" w:after="100" w:afterAutospacing="1" w:line="240" w:lineRule="auto"/>
        <w:ind w:left="567" w:right="227"/>
        <w:rPr>
          <w:rFonts w:ascii="Times New Roman" w:hAnsi="Times New Roman"/>
          <w:sz w:val="24"/>
          <w:szCs w:val="24"/>
        </w:rPr>
      </w:pPr>
    </w:p>
    <w:p w:rsidR="00E24C57" w:rsidRDefault="00E24C57" w:rsidP="001157B1">
      <w:pPr>
        <w:spacing w:before="80" w:line="240" w:lineRule="auto"/>
        <w:ind w:left="567" w:right="55"/>
        <w:rPr>
          <w:rFonts w:ascii="Times New Roman" w:hAnsi="Times New Roman"/>
          <w:color w:val="000000"/>
          <w:sz w:val="24"/>
          <w:szCs w:val="24"/>
          <w:lang w:val="en-US"/>
        </w:rPr>
      </w:pPr>
      <w:r w:rsidRPr="00E24C57">
        <w:rPr>
          <w:rFonts w:ascii="Times New Roman" w:hAnsi="Times New Roman"/>
          <w:color w:val="000000"/>
          <w:sz w:val="24"/>
          <w:szCs w:val="24"/>
          <w:shd w:val="clear" w:color="auto" w:fill="FFFFFF"/>
          <w:lang w:val="en-US"/>
        </w:rPr>
        <w:t xml:space="preserve">MURRAY C. J., LOPEZ A. D. </w:t>
      </w:r>
      <w:r w:rsidRPr="00E24C57">
        <w:rPr>
          <w:rFonts w:ascii="Times New Roman" w:hAnsi="Times New Roman"/>
          <w:b/>
          <w:bCs/>
          <w:color w:val="000000"/>
          <w:sz w:val="24"/>
          <w:szCs w:val="24"/>
          <w:shd w:val="clear" w:color="auto" w:fill="FFFFFF"/>
          <w:lang w:val="en-US"/>
        </w:rPr>
        <w:t>Measuring the global burden of disease</w:t>
      </w:r>
      <w:r w:rsidRPr="00E24C57">
        <w:rPr>
          <w:rFonts w:ascii="Times New Roman" w:hAnsi="Times New Roman"/>
          <w:color w:val="000000"/>
          <w:sz w:val="24"/>
          <w:szCs w:val="24"/>
          <w:shd w:val="clear" w:color="auto" w:fill="FFFFFF"/>
          <w:lang w:val="en-US"/>
        </w:rPr>
        <w:t xml:space="preserve">. 2013. New England </w:t>
      </w:r>
      <w:r w:rsidRPr="00E24C57">
        <w:rPr>
          <w:rFonts w:ascii="Times New Roman" w:hAnsi="Times New Roman"/>
          <w:color w:val="000000"/>
          <w:sz w:val="24"/>
          <w:szCs w:val="24"/>
          <w:lang w:val="en-US"/>
        </w:rPr>
        <w:t>Journal</w:t>
      </w:r>
      <w:r w:rsidRPr="00E24C57">
        <w:rPr>
          <w:rFonts w:ascii="Times New Roman" w:hAnsi="Times New Roman"/>
          <w:color w:val="000000"/>
          <w:sz w:val="24"/>
          <w:szCs w:val="24"/>
          <w:shd w:val="clear" w:color="auto" w:fill="FFFFFF"/>
          <w:lang w:val="en-US"/>
        </w:rPr>
        <w:t xml:space="preserve"> of Medicine; 369 (5): 448‐57. </w:t>
      </w:r>
      <w:r w:rsidRPr="00E24C57">
        <w:rPr>
          <w:rFonts w:ascii="Times New Roman" w:hAnsi="Times New Roman"/>
          <w:color w:val="000000"/>
          <w:sz w:val="24"/>
          <w:szCs w:val="24"/>
          <w:shd w:val="clear" w:color="auto" w:fill="FFFFFF"/>
        </w:rPr>
        <w:t>Disponível em: &lt;</w:t>
      </w:r>
      <w:r w:rsidRPr="00E24C57">
        <w:rPr>
          <w:rFonts w:ascii="Times New Roman" w:hAnsi="Times New Roman"/>
          <w:color w:val="000000"/>
          <w:sz w:val="24"/>
          <w:szCs w:val="24"/>
        </w:rPr>
        <w:t> </w:t>
      </w:r>
      <w:r w:rsidRPr="00E24C57">
        <w:rPr>
          <w:rFonts w:ascii="Times New Roman" w:hAnsi="Times New Roman"/>
          <w:color w:val="000000"/>
          <w:sz w:val="24"/>
          <w:szCs w:val="24"/>
          <w:shd w:val="clear" w:color="auto" w:fill="FFFFFF"/>
        </w:rPr>
        <w:t>https://www.nejm.org/doi/10.1056/NEJMra1201534?url_ver=Z39.882003&amp;rfr_id=ori:rid:crossref.org&amp;rfr_dat=cr_pub%20%200www.ncbi.nlm.nih.gov&gt;.</w:t>
      </w:r>
      <w:r w:rsidRPr="00E24C57">
        <w:rPr>
          <w:rFonts w:ascii="Times New Roman" w:hAnsi="Times New Roman"/>
          <w:color w:val="000000"/>
          <w:sz w:val="24"/>
          <w:szCs w:val="24"/>
          <w:shd w:val="clear" w:color="auto" w:fill="FFFFFF"/>
          <w:lang w:val="en-US"/>
        </w:rPr>
        <w:t>Ac-</w:t>
      </w:r>
      <w:proofErr w:type="spellStart"/>
      <w:r w:rsidRPr="00E24C57">
        <w:rPr>
          <w:rFonts w:ascii="Times New Roman" w:hAnsi="Times New Roman"/>
          <w:color w:val="000000"/>
          <w:sz w:val="24"/>
          <w:szCs w:val="24"/>
          <w:shd w:val="clear" w:color="auto" w:fill="FFFFFF"/>
          <w:lang w:val="en-US"/>
        </w:rPr>
        <w:t>esso</w:t>
      </w:r>
      <w:proofErr w:type="spellEnd"/>
      <w:r w:rsidRPr="00E24C57">
        <w:rPr>
          <w:rFonts w:ascii="Times New Roman" w:hAnsi="Times New Roman"/>
          <w:color w:val="000000"/>
          <w:sz w:val="24"/>
          <w:szCs w:val="24"/>
          <w:shd w:val="clear" w:color="auto" w:fill="FFFFFF"/>
          <w:lang w:val="en-US"/>
        </w:rPr>
        <w:t xml:space="preserve"> </w:t>
      </w:r>
      <w:r w:rsidRPr="00E24C57">
        <w:rPr>
          <w:rFonts w:ascii="Times New Roman" w:hAnsi="Times New Roman"/>
          <w:color w:val="000000"/>
          <w:sz w:val="24"/>
          <w:szCs w:val="24"/>
          <w:lang w:val="en-US"/>
        </w:rPr>
        <w:t> </w:t>
      </w:r>
      <w:proofErr w:type="spellStart"/>
      <w:r w:rsidRPr="00E24C57">
        <w:rPr>
          <w:rFonts w:ascii="Times New Roman" w:hAnsi="Times New Roman"/>
          <w:color w:val="000000"/>
          <w:sz w:val="24"/>
          <w:szCs w:val="24"/>
          <w:shd w:val="clear" w:color="auto" w:fill="FFFFFF"/>
          <w:lang w:val="en-US"/>
        </w:rPr>
        <w:t>em</w:t>
      </w:r>
      <w:proofErr w:type="spellEnd"/>
      <w:r w:rsidRPr="00E24C57">
        <w:rPr>
          <w:rFonts w:ascii="Times New Roman" w:hAnsi="Times New Roman"/>
          <w:color w:val="000000"/>
          <w:sz w:val="24"/>
          <w:szCs w:val="24"/>
          <w:shd w:val="clear" w:color="auto" w:fill="FFFFFF"/>
          <w:lang w:val="en-US"/>
        </w:rPr>
        <w:t xml:space="preserve"> 12 abr. de 2021.</w:t>
      </w:r>
      <w:r w:rsidRPr="00E24C57">
        <w:rPr>
          <w:rFonts w:ascii="Times New Roman" w:hAnsi="Times New Roman"/>
          <w:color w:val="000000"/>
          <w:sz w:val="24"/>
          <w:szCs w:val="24"/>
          <w:lang w:val="en-US"/>
        </w:rPr>
        <w:t> </w:t>
      </w:r>
    </w:p>
    <w:p w:rsidR="007B47A3" w:rsidRPr="00E24C57" w:rsidRDefault="007B47A3" w:rsidP="001157B1">
      <w:pPr>
        <w:spacing w:before="80" w:line="240" w:lineRule="auto"/>
        <w:ind w:left="567" w:right="55"/>
        <w:rPr>
          <w:rFonts w:ascii="Times New Roman" w:hAnsi="Times New Roman"/>
          <w:color w:val="000000"/>
          <w:sz w:val="24"/>
          <w:szCs w:val="24"/>
          <w:shd w:val="clear" w:color="auto" w:fill="FFFFFF"/>
        </w:rPr>
      </w:pPr>
    </w:p>
    <w:p w:rsidR="009E3AC9" w:rsidRDefault="009E3AC9" w:rsidP="001157B1">
      <w:pPr>
        <w:spacing w:before="80" w:line="240" w:lineRule="auto"/>
        <w:ind w:left="567"/>
        <w:rPr>
          <w:rFonts w:ascii="Times New Roman" w:hAnsi="Times New Roman"/>
          <w:color w:val="000000"/>
          <w:sz w:val="24"/>
          <w:szCs w:val="24"/>
          <w:lang w:val="en-US"/>
        </w:rPr>
      </w:pPr>
      <w:r w:rsidRPr="00E24C57">
        <w:rPr>
          <w:rFonts w:ascii="Times New Roman" w:hAnsi="Times New Roman"/>
          <w:color w:val="000000"/>
          <w:sz w:val="24"/>
          <w:szCs w:val="24"/>
        </w:rPr>
        <w:t xml:space="preserve">RANDONOVIC, M. </w:t>
      </w:r>
      <w:r w:rsidRPr="00E24C57">
        <w:rPr>
          <w:rFonts w:ascii="Times New Roman" w:hAnsi="Times New Roman"/>
          <w:b/>
          <w:bCs/>
          <w:color w:val="000000"/>
          <w:sz w:val="24"/>
          <w:szCs w:val="24"/>
        </w:rPr>
        <w:t>Características do atendimento de pacientes com acidente vascular  cerebral em hospital secundário</w:t>
      </w:r>
      <w:r w:rsidRPr="00E24C57">
        <w:rPr>
          <w:rFonts w:ascii="Times New Roman" w:hAnsi="Times New Roman"/>
          <w:color w:val="000000"/>
          <w:sz w:val="24"/>
          <w:szCs w:val="24"/>
        </w:rPr>
        <w:t xml:space="preserve">. 2000. </w:t>
      </w:r>
      <w:proofErr w:type="spellStart"/>
      <w:r w:rsidRPr="00E24C57">
        <w:rPr>
          <w:rFonts w:ascii="Times New Roman" w:hAnsi="Times New Roman"/>
          <w:color w:val="000000"/>
          <w:sz w:val="24"/>
          <w:szCs w:val="24"/>
        </w:rPr>
        <w:t>Arq</w:t>
      </w:r>
      <w:proofErr w:type="spellEnd"/>
      <w:r w:rsidRPr="00E24C57">
        <w:rPr>
          <w:rFonts w:ascii="Times New Roman" w:hAnsi="Times New Roman"/>
          <w:color w:val="000000"/>
          <w:sz w:val="24"/>
          <w:szCs w:val="24"/>
        </w:rPr>
        <w:t xml:space="preserve"> </w:t>
      </w:r>
      <w:proofErr w:type="spellStart"/>
      <w:r w:rsidRPr="00E24C57">
        <w:rPr>
          <w:rFonts w:ascii="Times New Roman" w:hAnsi="Times New Roman"/>
          <w:color w:val="000000"/>
          <w:sz w:val="24"/>
          <w:szCs w:val="24"/>
        </w:rPr>
        <w:t>Neuro</w:t>
      </w:r>
      <w:proofErr w:type="spellEnd"/>
      <w:r w:rsidRPr="00E24C57">
        <w:rPr>
          <w:rFonts w:ascii="Times New Roman" w:hAnsi="Times New Roman"/>
          <w:color w:val="000000"/>
          <w:sz w:val="24"/>
          <w:szCs w:val="24"/>
        </w:rPr>
        <w:t xml:space="preserve">-Psiquiatr. 2000;58 (1): 99-106. Disponível em &lt;https://www.scielo.br/pdf.anp/v58n1/1264.pdf&gt;. </w:t>
      </w:r>
      <w:proofErr w:type="spellStart"/>
      <w:r w:rsidRPr="00E24C57">
        <w:rPr>
          <w:rFonts w:ascii="Times New Roman" w:hAnsi="Times New Roman"/>
          <w:color w:val="000000"/>
          <w:sz w:val="24"/>
          <w:szCs w:val="24"/>
          <w:lang w:val="en-US"/>
        </w:rPr>
        <w:t>Acesso</w:t>
      </w:r>
      <w:proofErr w:type="spellEnd"/>
      <w:r w:rsidRPr="00E24C57">
        <w:rPr>
          <w:rFonts w:ascii="Times New Roman" w:hAnsi="Times New Roman"/>
          <w:color w:val="000000"/>
          <w:sz w:val="24"/>
          <w:szCs w:val="24"/>
          <w:lang w:val="en-US"/>
        </w:rPr>
        <w:t xml:space="preserve"> </w:t>
      </w:r>
      <w:proofErr w:type="spellStart"/>
      <w:r w:rsidRPr="00E24C57">
        <w:rPr>
          <w:rFonts w:ascii="Times New Roman" w:hAnsi="Times New Roman"/>
          <w:color w:val="000000"/>
          <w:sz w:val="24"/>
          <w:szCs w:val="24"/>
          <w:lang w:val="en-US"/>
        </w:rPr>
        <w:t>em</w:t>
      </w:r>
      <w:proofErr w:type="spellEnd"/>
      <w:r w:rsidRPr="00E24C57">
        <w:rPr>
          <w:rFonts w:ascii="Times New Roman" w:hAnsi="Times New Roman"/>
          <w:color w:val="000000"/>
          <w:sz w:val="24"/>
          <w:szCs w:val="24"/>
          <w:lang w:val="en-US"/>
        </w:rPr>
        <w:t xml:space="preserve"> 19 abr. de 2021</w:t>
      </w:r>
    </w:p>
    <w:p w:rsidR="007B47A3" w:rsidRPr="00E24C57" w:rsidRDefault="007B47A3" w:rsidP="001157B1">
      <w:pPr>
        <w:spacing w:before="80" w:line="240" w:lineRule="auto"/>
        <w:ind w:left="567"/>
        <w:rPr>
          <w:rFonts w:ascii="Times New Roman" w:hAnsi="Times New Roman"/>
          <w:color w:val="000000"/>
          <w:sz w:val="24"/>
          <w:szCs w:val="24"/>
          <w:lang w:val="en-US"/>
        </w:rPr>
      </w:pPr>
    </w:p>
    <w:p w:rsidR="00E24C57" w:rsidRPr="00E24C57" w:rsidRDefault="00E24C57" w:rsidP="001157B1">
      <w:pPr>
        <w:spacing w:before="80" w:line="240" w:lineRule="auto"/>
        <w:ind w:left="567" w:right="55" w:hanging="1"/>
        <w:rPr>
          <w:rFonts w:ascii="Times New Roman" w:hAnsi="Times New Roman"/>
          <w:color w:val="212121"/>
          <w:sz w:val="24"/>
          <w:szCs w:val="24"/>
          <w:shd w:val="clear" w:color="auto" w:fill="FFFFFF"/>
        </w:rPr>
      </w:pPr>
      <w:proofErr w:type="spellStart"/>
      <w:r w:rsidRPr="00E24C57">
        <w:rPr>
          <w:rFonts w:ascii="Times New Roman" w:hAnsi="Times New Roman"/>
          <w:color w:val="212121"/>
          <w:sz w:val="24"/>
          <w:szCs w:val="24"/>
          <w:shd w:val="clear" w:color="auto" w:fill="FFFFFF"/>
          <w:lang w:val="en-US"/>
        </w:rPr>
        <w:t>Takebayashi</w:t>
      </w:r>
      <w:proofErr w:type="spellEnd"/>
      <w:r w:rsidRPr="00E24C57">
        <w:rPr>
          <w:rFonts w:ascii="Times New Roman" w:hAnsi="Times New Roman"/>
          <w:color w:val="212121"/>
          <w:sz w:val="24"/>
          <w:szCs w:val="24"/>
          <w:shd w:val="clear" w:color="auto" w:fill="FFFFFF"/>
          <w:lang w:val="en-US"/>
        </w:rPr>
        <w:t xml:space="preserve"> T, Takahashi K, </w:t>
      </w:r>
      <w:proofErr w:type="spellStart"/>
      <w:r w:rsidRPr="00E24C57">
        <w:rPr>
          <w:rFonts w:ascii="Times New Roman" w:hAnsi="Times New Roman"/>
          <w:color w:val="212121"/>
          <w:sz w:val="24"/>
          <w:szCs w:val="24"/>
          <w:shd w:val="clear" w:color="auto" w:fill="FFFFFF"/>
          <w:lang w:val="en-US"/>
        </w:rPr>
        <w:t>Moriwaki</w:t>
      </w:r>
      <w:proofErr w:type="spellEnd"/>
      <w:r w:rsidRPr="00E24C57">
        <w:rPr>
          <w:rFonts w:ascii="Times New Roman" w:hAnsi="Times New Roman"/>
          <w:color w:val="212121"/>
          <w:sz w:val="24"/>
          <w:szCs w:val="24"/>
          <w:shd w:val="clear" w:color="auto" w:fill="FFFFFF"/>
          <w:lang w:val="en-US"/>
        </w:rPr>
        <w:t xml:space="preserve"> M, Sakamoto T, </w:t>
      </w:r>
      <w:proofErr w:type="spellStart"/>
      <w:r w:rsidRPr="00E24C57">
        <w:rPr>
          <w:rFonts w:ascii="Times New Roman" w:hAnsi="Times New Roman"/>
          <w:color w:val="212121"/>
          <w:sz w:val="24"/>
          <w:szCs w:val="24"/>
          <w:shd w:val="clear" w:color="auto" w:fill="FFFFFF"/>
          <w:lang w:val="en-US"/>
        </w:rPr>
        <w:t>Domen</w:t>
      </w:r>
      <w:proofErr w:type="spellEnd"/>
      <w:r w:rsidRPr="00E24C57">
        <w:rPr>
          <w:rFonts w:ascii="Times New Roman" w:hAnsi="Times New Roman"/>
          <w:color w:val="212121"/>
          <w:sz w:val="24"/>
          <w:szCs w:val="24"/>
          <w:shd w:val="clear" w:color="auto" w:fill="FFFFFF"/>
          <w:lang w:val="en-US"/>
        </w:rPr>
        <w:t xml:space="preserve"> K. </w:t>
      </w:r>
      <w:r w:rsidRPr="00E24C57">
        <w:rPr>
          <w:rFonts w:ascii="Times New Roman" w:hAnsi="Times New Roman"/>
          <w:b/>
          <w:color w:val="212121"/>
          <w:sz w:val="24"/>
          <w:szCs w:val="24"/>
          <w:shd w:val="clear" w:color="auto" w:fill="FFFFFF"/>
          <w:lang w:val="en-US"/>
        </w:rPr>
        <w:t xml:space="preserve">Improvement of Upper Extremity Deficit after Constraint-Induced Movement Therapy Combined with and without Preconditioning Stimulation Using Dual-hemisphere Transcranial Direct Current Stimulation and Peripheral Neuromuscular Stimulation in Chronic Stroke Patients: A Pilot Randomized Controlled Trial. </w:t>
      </w:r>
      <w:r w:rsidRPr="00E24C57">
        <w:rPr>
          <w:rFonts w:ascii="Times New Roman" w:hAnsi="Times New Roman"/>
          <w:b/>
          <w:color w:val="212121"/>
          <w:sz w:val="24"/>
          <w:szCs w:val="24"/>
          <w:shd w:val="clear" w:color="auto" w:fill="FFFFFF"/>
        </w:rPr>
        <w:t xml:space="preserve">Front </w:t>
      </w:r>
      <w:proofErr w:type="spellStart"/>
      <w:r w:rsidRPr="00E24C57">
        <w:rPr>
          <w:rFonts w:ascii="Times New Roman" w:hAnsi="Times New Roman"/>
          <w:b/>
          <w:color w:val="212121"/>
          <w:sz w:val="24"/>
          <w:szCs w:val="24"/>
          <w:shd w:val="clear" w:color="auto" w:fill="FFFFFF"/>
        </w:rPr>
        <w:t>Neurol</w:t>
      </w:r>
      <w:proofErr w:type="spellEnd"/>
      <w:r w:rsidRPr="00E24C57">
        <w:rPr>
          <w:rFonts w:ascii="Times New Roman" w:hAnsi="Times New Roman"/>
          <w:b/>
          <w:color w:val="212121"/>
          <w:sz w:val="24"/>
          <w:szCs w:val="24"/>
          <w:shd w:val="clear" w:color="auto" w:fill="FFFFFF"/>
        </w:rPr>
        <w:t>.</w:t>
      </w:r>
      <w:r w:rsidRPr="00E24C57">
        <w:rPr>
          <w:rFonts w:ascii="Times New Roman" w:hAnsi="Times New Roman"/>
          <w:color w:val="212121"/>
          <w:sz w:val="24"/>
          <w:szCs w:val="24"/>
          <w:shd w:val="clear" w:color="auto" w:fill="FFFFFF"/>
        </w:rPr>
        <w:t xml:space="preserve"> 2017 </w:t>
      </w:r>
      <w:proofErr w:type="spellStart"/>
      <w:r w:rsidRPr="00E24C57">
        <w:rPr>
          <w:rFonts w:ascii="Times New Roman" w:hAnsi="Times New Roman"/>
          <w:color w:val="212121"/>
          <w:sz w:val="24"/>
          <w:szCs w:val="24"/>
          <w:shd w:val="clear" w:color="auto" w:fill="FFFFFF"/>
        </w:rPr>
        <w:t>Oct</w:t>
      </w:r>
      <w:proofErr w:type="spellEnd"/>
      <w:r w:rsidRPr="00E24C57">
        <w:rPr>
          <w:rFonts w:ascii="Times New Roman" w:hAnsi="Times New Roman"/>
          <w:color w:val="212121"/>
          <w:sz w:val="24"/>
          <w:szCs w:val="24"/>
          <w:shd w:val="clear" w:color="auto" w:fill="FFFFFF"/>
        </w:rPr>
        <w:t xml:space="preserve"> 30; 8:568. </w:t>
      </w:r>
      <w:proofErr w:type="spellStart"/>
      <w:r w:rsidRPr="00E24C57">
        <w:rPr>
          <w:rFonts w:ascii="Times New Roman" w:hAnsi="Times New Roman"/>
          <w:color w:val="212121"/>
          <w:sz w:val="24"/>
          <w:szCs w:val="24"/>
          <w:shd w:val="clear" w:color="auto" w:fill="FFFFFF"/>
        </w:rPr>
        <w:t>doi</w:t>
      </w:r>
      <w:proofErr w:type="spellEnd"/>
      <w:r w:rsidRPr="00E24C57">
        <w:rPr>
          <w:rFonts w:ascii="Times New Roman" w:hAnsi="Times New Roman"/>
          <w:color w:val="212121"/>
          <w:sz w:val="24"/>
          <w:szCs w:val="24"/>
          <w:shd w:val="clear" w:color="auto" w:fill="FFFFFF"/>
        </w:rPr>
        <w:t xml:space="preserve">: 10.3389/fneur.2017.00568. PMID: 29163334; PMCID: PMC5670104. Disponível em: </w:t>
      </w:r>
      <w:r w:rsidRPr="00E24C57">
        <w:rPr>
          <w:rFonts w:ascii="Times New Roman" w:hAnsi="Times New Roman"/>
          <w:sz w:val="24"/>
          <w:szCs w:val="24"/>
          <w:shd w:val="clear" w:color="auto" w:fill="FFFFFF"/>
        </w:rPr>
        <w:t>https://www.ncbi.nlm.nih.gov/pmc/articles/PMC5670104/</w:t>
      </w:r>
      <w:r w:rsidRPr="00E24C57">
        <w:rPr>
          <w:rFonts w:ascii="Times New Roman" w:hAnsi="Times New Roman"/>
          <w:sz w:val="24"/>
          <w:szCs w:val="24"/>
          <w:u w:val="single"/>
          <w:shd w:val="clear" w:color="auto" w:fill="FFFFFF"/>
        </w:rPr>
        <w:t xml:space="preserve"> </w:t>
      </w:r>
      <w:r w:rsidRPr="00E24C57">
        <w:rPr>
          <w:rFonts w:ascii="Times New Roman" w:hAnsi="Times New Roman"/>
          <w:color w:val="212121"/>
          <w:sz w:val="24"/>
          <w:szCs w:val="24"/>
          <w:shd w:val="clear" w:color="auto" w:fill="FFFFFF"/>
        </w:rPr>
        <w:t>.Acesso em: 22 maio de 2021.</w:t>
      </w:r>
    </w:p>
    <w:p w:rsidR="00E24C57" w:rsidRPr="00E24C57" w:rsidRDefault="00E24C57" w:rsidP="001157B1">
      <w:pPr>
        <w:spacing w:before="80" w:after="100" w:afterAutospacing="1" w:line="240" w:lineRule="auto"/>
        <w:ind w:left="567"/>
        <w:rPr>
          <w:rFonts w:ascii="Times New Roman" w:hAnsi="Times New Roman"/>
          <w:color w:val="212121"/>
          <w:sz w:val="24"/>
          <w:szCs w:val="24"/>
          <w:shd w:val="clear" w:color="auto" w:fill="FFFFFF"/>
          <w:lang w:val="en-US"/>
        </w:rPr>
      </w:pPr>
      <w:r w:rsidRPr="00E24C57">
        <w:rPr>
          <w:rFonts w:ascii="Times New Roman" w:hAnsi="Times New Roman"/>
          <w:color w:val="212121"/>
          <w:sz w:val="24"/>
          <w:szCs w:val="24"/>
          <w:shd w:val="clear" w:color="auto" w:fill="FFFFFF"/>
          <w:lang w:val="en-US"/>
        </w:rPr>
        <w:t xml:space="preserve">KWAKKEL G., Wolf SL. </w:t>
      </w:r>
      <w:r w:rsidRPr="00E24C57">
        <w:rPr>
          <w:rFonts w:ascii="Times New Roman" w:hAnsi="Times New Roman"/>
          <w:b/>
          <w:color w:val="212121"/>
          <w:sz w:val="24"/>
          <w:szCs w:val="24"/>
          <w:shd w:val="clear" w:color="auto" w:fill="FFFFFF"/>
          <w:lang w:val="en-US"/>
        </w:rPr>
        <w:t xml:space="preserve">Constraint-induced movement therapy after stroke. </w:t>
      </w:r>
      <w:r w:rsidRPr="00E24C57">
        <w:rPr>
          <w:rFonts w:ascii="Times New Roman" w:hAnsi="Times New Roman"/>
          <w:color w:val="212121"/>
          <w:sz w:val="24"/>
          <w:szCs w:val="24"/>
          <w:shd w:val="clear" w:color="auto" w:fill="FFFFFF"/>
          <w:lang w:val="en-US"/>
        </w:rPr>
        <w:t xml:space="preserve">Lancet Neurol. 2015 Feb; 14 (2): 224-34. &lt;https://pubmed.ncbi.nlm.nih.gov/25772900/&gt; </w:t>
      </w:r>
      <w:proofErr w:type="spellStart"/>
      <w:r w:rsidRPr="00E24C57">
        <w:rPr>
          <w:rFonts w:ascii="Times New Roman" w:hAnsi="Times New Roman"/>
          <w:color w:val="212121"/>
          <w:sz w:val="24"/>
          <w:szCs w:val="24"/>
          <w:shd w:val="clear" w:color="auto" w:fill="FFFFFF"/>
          <w:lang w:val="en-US"/>
        </w:rPr>
        <w:t>doi</w:t>
      </w:r>
      <w:proofErr w:type="spellEnd"/>
      <w:r w:rsidRPr="00E24C57">
        <w:rPr>
          <w:rFonts w:ascii="Times New Roman" w:hAnsi="Times New Roman"/>
          <w:color w:val="212121"/>
          <w:sz w:val="24"/>
          <w:szCs w:val="24"/>
          <w:shd w:val="clear" w:color="auto" w:fill="FFFFFF"/>
          <w:lang w:val="en-US"/>
        </w:rPr>
        <w:t xml:space="preserve">: 10.1016/S1474-4422(14)70160-7. PMID: 25772900; PMCID: PMC4361809. </w:t>
      </w:r>
      <w:proofErr w:type="spellStart"/>
      <w:r w:rsidRPr="00E24C57">
        <w:rPr>
          <w:rFonts w:ascii="Times New Roman" w:hAnsi="Times New Roman"/>
          <w:color w:val="212121"/>
          <w:sz w:val="24"/>
          <w:szCs w:val="24"/>
          <w:shd w:val="clear" w:color="auto" w:fill="FFFFFF"/>
          <w:lang w:val="en-US"/>
        </w:rPr>
        <w:t>Acesso</w:t>
      </w:r>
      <w:proofErr w:type="spellEnd"/>
      <w:r w:rsidRPr="00E24C57">
        <w:rPr>
          <w:rFonts w:ascii="Times New Roman" w:hAnsi="Times New Roman"/>
          <w:color w:val="212121"/>
          <w:sz w:val="24"/>
          <w:szCs w:val="24"/>
          <w:shd w:val="clear" w:color="auto" w:fill="FFFFFF"/>
          <w:lang w:val="en-US"/>
        </w:rPr>
        <w:t xml:space="preserve"> </w:t>
      </w:r>
      <w:proofErr w:type="spellStart"/>
      <w:r w:rsidRPr="00E24C57">
        <w:rPr>
          <w:rFonts w:ascii="Times New Roman" w:hAnsi="Times New Roman"/>
          <w:color w:val="212121"/>
          <w:sz w:val="24"/>
          <w:szCs w:val="24"/>
          <w:shd w:val="clear" w:color="auto" w:fill="FFFFFF"/>
          <w:lang w:val="en-US"/>
        </w:rPr>
        <w:t>em</w:t>
      </w:r>
      <w:proofErr w:type="spellEnd"/>
      <w:r w:rsidRPr="00E24C57">
        <w:rPr>
          <w:rFonts w:ascii="Times New Roman" w:hAnsi="Times New Roman"/>
          <w:color w:val="212121"/>
          <w:sz w:val="24"/>
          <w:szCs w:val="24"/>
          <w:shd w:val="clear" w:color="auto" w:fill="FFFFFF"/>
          <w:lang w:val="en-US"/>
        </w:rPr>
        <w:t>: 24 abr.2021.</w:t>
      </w:r>
    </w:p>
    <w:p w:rsidR="00E24C57" w:rsidRPr="00E24C57" w:rsidRDefault="00E24C57" w:rsidP="001157B1">
      <w:pPr>
        <w:spacing w:before="80" w:line="240" w:lineRule="auto"/>
        <w:ind w:left="2268" w:right="2268"/>
        <w:rPr>
          <w:rFonts w:ascii="Times New Roman" w:hAnsi="Times New Roman"/>
          <w:color w:val="212121"/>
          <w:sz w:val="24"/>
          <w:szCs w:val="24"/>
          <w:shd w:val="clear" w:color="auto" w:fill="FFFFFF"/>
        </w:rPr>
      </w:pPr>
    </w:p>
    <w:p w:rsidR="00E24C57" w:rsidRPr="00E24C57" w:rsidRDefault="00E24C57" w:rsidP="001157B1">
      <w:pPr>
        <w:spacing w:before="80" w:line="240" w:lineRule="auto"/>
        <w:ind w:left="567" w:right="55" w:hanging="1"/>
        <w:rPr>
          <w:rFonts w:ascii="Times New Roman" w:hAnsi="Times New Roman"/>
          <w:color w:val="000000"/>
          <w:sz w:val="24"/>
          <w:szCs w:val="24"/>
        </w:rPr>
      </w:pPr>
    </w:p>
    <w:p w:rsidR="009E3AC9" w:rsidRPr="00E24C57" w:rsidRDefault="009E3AC9" w:rsidP="001157B1">
      <w:pPr>
        <w:spacing w:before="80" w:line="240" w:lineRule="auto"/>
        <w:ind w:left="567"/>
        <w:rPr>
          <w:rFonts w:ascii="Times New Roman" w:hAnsi="Times New Roman"/>
          <w:sz w:val="24"/>
          <w:szCs w:val="24"/>
        </w:rPr>
      </w:pPr>
    </w:p>
    <w:p w:rsidR="002A7543" w:rsidRPr="00E24C57" w:rsidRDefault="002A7543" w:rsidP="001157B1">
      <w:pPr>
        <w:spacing w:before="80" w:after="0" w:line="240" w:lineRule="auto"/>
        <w:ind w:left="567"/>
        <w:contextualSpacing/>
        <w:jc w:val="both"/>
        <w:rPr>
          <w:rFonts w:ascii="Times New Roman" w:hAnsi="Times New Roman"/>
          <w:b/>
          <w:sz w:val="24"/>
          <w:szCs w:val="24"/>
        </w:rPr>
      </w:pPr>
    </w:p>
    <w:p w:rsidR="002A7543" w:rsidRPr="00E24C57" w:rsidRDefault="002A7543" w:rsidP="001157B1">
      <w:pPr>
        <w:spacing w:before="80" w:after="0" w:line="240" w:lineRule="auto"/>
        <w:ind w:left="567"/>
        <w:contextualSpacing/>
        <w:jc w:val="both"/>
        <w:rPr>
          <w:rFonts w:ascii="Times New Roman" w:hAnsi="Times New Roman"/>
          <w:b/>
          <w:sz w:val="24"/>
          <w:szCs w:val="24"/>
        </w:rPr>
      </w:pPr>
    </w:p>
    <w:p w:rsidR="00A02D62" w:rsidRDefault="00A02D62" w:rsidP="001157B1">
      <w:pPr>
        <w:spacing w:before="80" w:after="0" w:line="240" w:lineRule="auto"/>
        <w:ind w:left="567"/>
        <w:contextualSpacing/>
        <w:jc w:val="both"/>
        <w:rPr>
          <w:rFonts w:ascii="Times New Roman" w:hAnsi="Times New Roman"/>
          <w:sz w:val="24"/>
          <w:szCs w:val="24"/>
        </w:rPr>
      </w:pPr>
    </w:p>
    <w:p w:rsidR="00A02D62" w:rsidRPr="00A02D62" w:rsidRDefault="00A02D62" w:rsidP="00A02D62">
      <w:pPr>
        <w:rPr>
          <w:rFonts w:ascii="Times New Roman" w:hAnsi="Times New Roman"/>
          <w:sz w:val="24"/>
          <w:szCs w:val="24"/>
        </w:rPr>
      </w:pPr>
    </w:p>
    <w:p w:rsidR="00A02D62" w:rsidRDefault="00A02D62" w:rsidP="00A02D62">
      <w:pPr>
        <w:rPr>
          <w:rFonts w:ascii="Times New Roman" w:hAnsi="Times New Roman"/>
          <w:sz w:val="24"/>
          <w:szCs w:val="24"/>
        </w:rPr>
      </w:pPr>
    </w:p>
    <w:p w:rsidR="00A02D62" w:rsidRDefault="00A02D62" w:rsidP="00A02D62">
      <w:pPr>
        <w:rPr>
          <w:rFonts w:ascii="Times New Roman" w:hAnsi="Times New Roman"/>
          <w:sz w:val="24"/>
          <w:szCs w:val="24"/>
        </w:rPr>
      </w:pPr>
    </w:p>
    <w:p w:rsidR="00702E08" w:rsidRPr="00A02D62" w:rsidRDefault="00A02D62" w:rsidP="00A02D62">
      <w:pPr>
        <w:tabs>
          <w:tab w:val="left" w:pos="3360"/>
        </w:tabs>
        <w:rPr>
          <w:rFonts w:ascii="Times New Roman" w:hAnsi="Times New Roman"/>
          <w:sz w:val="24"/>
          <w:szCs w:val="24"/>
        </w:rPr>
      </w:pPr>
      <w:r>
        <w:rPr>
          <w:rFonts w:ascii="Times New Roman" w:hAnsi="Times New Roman"/>
          <w:sz w:val="24"/>
          <w:szCs w:val="24"/>
        </w:rPr>
        <w:tab/>
      </w:r>
    </w:p>
    <w:sectPr w:rsidR="00702E08" w:rsidRPr="00A02D62" w:rsidSect="00956616">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5D9" w:rsidRDefault="007B25D9" w:rsidP="002E5B84">
      <w:pPr>
        <w:spacing w:after="0" w:line="240" w:lineRule="auto"/>
      </w:pPr>
      <w:r>
        <w:separator/>
      </w:r>
    </w:p>
  </w:endnote>
  <w:endnote w:type="continuationSeparator" w:id="0">
    <w:p w:rsidR="007B25D9" w:rsidRDefault="007B25D9"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D62" w:rsidRDefault="00A02D62" w:rsidP="00A02D62">
    <w:pPr>
      <w:pStyle w:val="Rodap"/>
      <w:jc w:val="center"/>
      <w:rPr>
        <w:rFonts w:ascii="Times New Roman" w:hAnsi="Times New Roman"/>
        <w:b/>
        <w:sz w:val="20"/>
        <w:szCs w:val="20"/>
      </w:rPr>
    </w:pPr>
  </w:p>
  <w:p w:rsidR="00A02D62" w:rsidRPr="00DE414C" w:rsidRDefault="00A02D62" w:rsidP="00A02D62">
    <w:pPr>
      <w:pStyle w:val="Rodap"/>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2021</w:t>
    </w:r>
  </w:p>
  <w:p w:rsidR="00A02D62" w:rsidRPr="0060122C" w:rsidRDefault="00A02D62" w:rsidP="00A02D62">
    <w:pPr>
      <w:pStyle w:val="Rodap"/>
      <w:jc w:val="center"/>
    </w:pPr>
    <w:r w:rsidRPr="00DE414C">
      <w:rPr>
        <w:rFonts w:ascii="Times New Roman" w:hAnsi="Times New Roman"/>
        <w:b/>
        <w:sz w:val="20"/>
        <w:szCs w:val="20"/>
      </w:rPr>
      <w:t>ISSN 1980-7406</w:t>
    </w:r>
  </w:p>
  <w:p w:rsidR="00A02D62" w:rsidRDefault="00A02D6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5D9" w:rsidRDefault="007B25D9" w:rsidP="002E5B84">
      <w:pPr>
        <w:spacing w:after="0" w:line="240" w:lineRule="auto"/>
      </w:pPr>
      <w:r>
        <w:separator/>
      </w:r>
    </w:p>
  </w:footnote>
  <w:footnote w:type="continuationSeparator" w:id="0">
    <w:p w:rsidR="007B25D9" w:rsidRDefault="007B25D9" w:rsidP="002E5B84">
      <w:pPr>
        <w:spacing w:after="0" w:line="240" w:lineRule="auto"/>
      </w:pPr>
      <w:r>
        <w:continuationSeparator/>
      </w:r>
    </w:p>
  </w:footnote>
  <w:footnote w:id="1">
    <w:p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3C3345">
        <w:rPr>
          <w:rFonts w:ascii="Times New Roman" w:hAnsi="Times New Roman"/>
        </w:rPr>
        <w:t xml:space="preserve"> </w:t>
      </w:r>
      <w:r w:rsidR="00B80C18">
        <w:rPr>
          <w:rFonts w:ascii="Times New Roman" w:hAnsi="Times New Roman"/>
        </w:rPr>
        <w:t xml:space="preserve">Acadêmica de Fisioterapia do Centro Universitário da Fundação Assis Gurgacz </w:t>
      </w:r>
      <w:r w:rsidR="002476A2" w:rsidRPr="009544B0">
        <w:rPr>
          <w:rFonts w:ascii="Times New Roman" w:hAnsi="Times New Roman"/>
        </w:rPr>
        <w:t xml:space="preserve">. </w:t>
      </w:r>
      <w:r w:rsidR="00B80C18">
        <w:rPr>
          <w:rFonts w:ascii="Times New Roman" w:hAnsi="Times New Roman"/>
        </w:rPr>
        <w:t>E-mail:danieleluhmm20@gmail.com</w:t>
      </w:r>
    </w:p>
  </w:footnote>
  <w:footnote w:id="2">
    <w:p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2476A2" w:rsidRPr="009544B0">
        <w:rPr>
          <w:rFonts w:ascii="Times New Roman" w:hAnsi="Times New Roman"/>
        </w:rPr>
        <w:t xml:space="preserve"> </w:t>
      </w:r>
      <w:r w:rsidR="00B80C18">
        <w:rPr>
          <w:rFonts w:ascii="Times New Roman" w:hAnsi="Times New Roman"/>
        </w:rPr>
        <w:t xml:space="preserve">Professora, </w:t>
      </w:r>
      <w:r w:rsidR="003C3345">
        <w:rPr>
          <w:rFonts w:ascii="Times New Roman" w:hAnsi="Times New Roman"/>
        </w:rPr>
        <w:t>Me. de Fisioterapia do Centro Universitário da Fundação Assis Gurgacz. E-mail:ninaromero2@yahoo.com.br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D62" w:rsidRDefault="00A02D62">
    <w:pPr>
      <w:pStyle w:val="Cabealho"/>
    </w:pPr>
    <w:r>
      <w:rPr>
        <w:noProof/>
        <w:lang w:eastAsia="pt-BR"/>
      </w:rPr>
      <w:drawing>
        <wp:anchor distT="0" distB="0" distL="114300" distR="114300" simplePos="0" relativeHeight="251658752" behindDoc="0" locked="0" layoutInCell="1" allowOverlap="1">
          <wp:simplePos x="0" y="0"/>
          <wp:positionH relativeFrom="column">
            <wp:posOffset>1270</wp:posOffset>
          </wp:positionH>
          <wp:positionV relativeFrom="paragraph">
            <wp:posOffset>-97790</wp:posOffset>
          </wp:positionV>
          <wp:extent cx="6135475" cy="927011"/>
          <wp:effectExtent l="0" t="0" r="0" b="6985"/>
          <wp:wrapNone/>
          <wp:docPr id="30" name="Imagem 30" descr="cabe E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 ECC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35475" cy="92701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D62" w:rsidRDefault="00A02D6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1C0" w:rsidRDefault="005B1FFD" w:rsidP="00F101C0">
    <w:pPr>
      <w:pStyle w:val="Cabealho"/>
    </w:pPr>
    <w:r>
      <w:rPr>
        <w:noProof/>
        <w:lang w:eastAsia="pt-BR"/>
      </w:rPr>
      <w:drawing>
        <wp:inline distT="0" distB="0" distL="0" distR="0" wp14:anchorId="120D8C09" wp14:editId="2CC1E85F">
          <wp:extent cx="6115050" cy="885825"/>
          <wp:effectExtent l="0" t="0" r="0" b="0"/>
          <wp:docPr id="11" name="Imagem 11"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1C0" w:rsidRDefault="00B80C18" w:rsidP="00F101C0">
    <w:pPr>
      <w:pStyle w:val="Cabealho"/>
    </w:pPr>
    <w:r>
      <w:rPr>
        <w:noProof/>
        <w:lang w:eastAsia="pt-BR"/>
      </w:rPr>
      <w:drawing>
        <wp:inline distT="0" distB="0" distL="0" distR="0" wp14:anchorId="25FC59B5" wp14:editId="5D0A3C62">
          <wp:extent cx="6115050" cy="923925"/>
          <wp:effectExtent l="0" t="0" r="0" b="9525"/>
          <wp:docPr id="2" name="Imagem 2" descr="cabe E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 EC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239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1C0" w:rsidRDefault="005B1FFD" w:rsidP="00F101C0">
    <w:pPr>
      <w:pStyle w:val="Cabealho"/>
    </w:pPr>
    <w:r>
      <w:rPr>
        <w:noProof/>
        <w:lang w:eastAsia="pt-BR"/>
      </w:rPr>
      <w:drawing>
        <wp:inline distT="0" distB="0" distL="0" distR="0" wp14:anchorId="6CBB6E50" wp14:editId="6D83F6C9">
          <wp:extent cx="6115050" cy="885825"/>
          <wp:effectExtent l="0" t="0" r="0" b="0"/>
          <wp:docPr id="12" name="Imagem 12"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15:restartNumberingAfterBreak="0">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A0"/>
    <w:rsid w:val="00024F16"/>
    <w:rsid w:val="0003128C"/>
    <w:rsid w:val="00075501"/>
    <w:rsid w:val="0007628C"/>
    <w:rsid w:val="00086657"/>
    <w:rsid w:val="00093804"/>
    <w:rsid w:val="000A3DAD"/>
    <w:rsid w:val="000B74E8"/>
    <w:rsid w:val="0010175E"/>
    <w:rsid w:val="00112954"/>
    <w:rsid w:val="001157B1"/>
    <w:rsid w:val="00126B69"/>
    <w:rsid w:val="00137A4B"/>
    <w:rsid w:val="00154487"/>
    <w:rsid w:val="00161967"/>
    <w:rsid w:val="001645D3"/>
    <w:rsid w:val="001659CB"/>
    <w:rsid w:val="00183253"/>
    <w:rsid w:val="00184BCE"/>
    <w:rsid w:val="001C0784"/>
    <w:rsid w:val="001C1A95"/>
    <w:rsid w:val="001C5BD3"/>
    <w:rsid w:val="001C5BE2"/>
    <w:rsid w:val="001E72EA"/>
    <w:rsid w:val="001E7C07"/>
    <w:rsid w:val="00215136"/>
    <w:rsid w:val="00216293"/>
    <w:rsid w:val="00240EF9"/>
    <w:rsid w:val="00246D0C"/>
    <w:rsid w:val="002476A2"/>
    <w:rsid w:val="0026594E"/>
    <w:rsid w:val="00271884"/>
    <w:rsid w:val="0027216C"/>
    <w:rsid w:val="002801F7"/>
    <w:rsid w:val="002933CE"/>
    <w:rsid w:val="002A7543"/>
    <w:rsid w:val="002B5AF9"/>
    <w:rsid w:val="002E47BA"/>
    <w:rsid w:val="002E5B84"/>
    <w:rsid w:val="002E7729"/>
    <w:rsid w:val="002F37B6"/>
    <w:rsid w:val="003164BC"/>
    <w:rsid w:val="00317A59"/>
    <w:rsid w:val="003331BF"/>
    <w:rsid w:val="00342636"/>
    <w:rsid w:val="003926D6"/>
    <w:rsid w:val="003A05F5"/>
    <w:rsid w:val="003A4D90"/>
    <w:rsid w:val="003C3345"/>
    <w:rsid w:val="003F3FEA"/>
    <w:rsid w:val="00470532"/>
    <w:rsid w:val="004A2CC9"/>
    <w:rsid w:val="004C2467"/>
    <w:rsid w:val="004C712E"/>
    <w:rsid w:val="004E16E7"/>
    <w:rsid w:val="004E3A84"/>
    <w:rsid w:val="004F6214"/>
    <w:rsid w:val="005064B1"/>
    <w:rsid w:val="00522ECF"/>
    <w:rsid w:val="005369A0"/>
    <w:rsid w:val="00537DEF"/>
    <w:rsid w:val="00544995"/>
    <w:rsid w:val="005458B2"/>
    <w:rsid w:val="0055575A"/>
    <w:rsid w:val="005611AB"/>
    <w:rsid w:val="0056408B"/>
    <w:rsid w:val="0059449A"/>
    <w:rsid w:val="005B1FFD"/>
    <w:rsid w:val="005B5044"/>
    <w:rsid w:val="005C12B3"/>
    <w:rsid w:val="005D462D"/>
    <w:rsid w:val="005E11CE"/>
    <w:rsid w:val="005E124D"/>
    <w:rsid w:val="005E703E"/>
    <w:rsid w:val="0060122C"/>
    <w:rsid w:val="006022DC"/>
    <w:rsid w:val="0062036E"/>
    <w:rsid w:val="0062121F"/>
    <w:rsid w:val="00621E32"/>
    <w:rsid w:val="00641CA7"/>
    <w:rsid w:val="00642D83"/>
    <w:rsid w:val="00661E5F"/>
    <w:rsid w:val="006A2FDE"/>
    <w:rsid w:val="006A541A"/>
    <w:rsid w:val="006B6235"/>
    <w:rsid w:val="006D0181"/>
    <w:rsid w:val="006D13AA"/>
    <w:rsid w:val="006E53D1"/>
    <w:rsid w:val="006F46EE"/>
    <w:rsid w:val="006F557D"/>
    <w:rsid w:val="007006AC"/>
    <w:rsid w:val="00702E08"/>
    <w:rsid w:val="00705796"/>
    <w:rsid w:val="0071287A"/>
    <w:rsid w:val="00723602"/>
    <w:rsid w:val="00726E3F"/>
    <w:rsid w:val="007409A0"/>
    <w:rsid w:val="00750C86"/>
    <w:rsid w:val="007541E1"/>
    <w:rsid w:val="00756812"/>
    <w:rsid w:val="00760F8D"/>
    <w:rsid w:val="007734EA"/>
    <w:rsid w:val="007816FC"/>
    <w:rsid w:val="007A06EC"/>
    <w:rsid w:val="007B25D9"/>
    <w:rsid w:val="007B47A3"/>
    <w:rsid w:val="007C5832"/>
    <w:rsid w:val="007D5035"/>
    <w:rsid w:val="007E5FF2"/>
    <w:rsid w:val="007E7381"/>
    <w:rsid w:val="00841795"/>
    <w:rsid w:val="00850D61"/>
    <w:rsid w:val="008518CF"/>
    <w:rsid w:val="00866194"/>
    <w:rsid w:val="008A757C"/>
    <w:rsid w:val="008E01A1"/>
    <w:rsid w:val="008E1D5B"/>
    <w:rsid w:val="008E4BDA"/>
    <w:rsid w:val="008F7E8A"/>
    <w:rsid w:val="009333C2"/>
    <w:rsid w:val="009448BA"/>
    <w:rsid w:val="009544B0"/>
    <w:rsid w:val="00954CFA"/>
    <w:rsid w:val="00956616"/>
    <w:rsid w:val="00983451"/>
    <w:rsid w:val="00993FB1"/>
    <w:rsid w:val="009A1615"/>
    <w:rsid w:val="009A373A"/>
    <w:rsid w:val="009B6A82"/>
    <w:rsid w:val="009C24EB"/>
    <w:rsid w:val="009E3AC9"/>
    <w:rsid w:val="009E4599"/>
    <w:rsid w:val="009E5671"/>
    <w:rsid w:val="009F51C7"/>
    <w:rsid w:val="00A02D62"/>
    <w:rsid w:val="00A16C12"/>
    <w:rsid w:val="00A32D83"/>
    <w:rsid w:val="00A428C0"/>
    <w:rsid w:val="00A50670"/>
    <w:rsid w:val="00A5413B"/>
    <w:rsid w:val="00A75F01"/>
    <w:rsid w:val="00A77EC9"/>
    <w:rsid w:val="00B04D99"/>
    <w:rsid w:val="00B43A45"/>
    <w:rsid w:val="00B50407"/>
    <w:rsid w:val="00B80426"/>
    <w:rsid w:val="00B80C18"/>
    <w:rsid w:val="00BB4ACF"/>
    <w:rsid w:val="00BD241E"/>
    <w:rsid w:val="00BE4A4E"/>
    <w:rsid w:val="00C5764A"/>
    <w:rsid w:val="00C62687"/>
    <w:rsid w:val="00C65B79"/>
    <w:rsid w:val="00CB5A9C"/>
    <w:rsid w:val="00CB7FBF"/>
    <w:rsid w:val="00CF63AB"/>
    <w:rsid w:val="00D03FE2"/>
    <w:rsid w:val="00D239A4"/>
    <w:rsid w:val="00D40384"/>
    <w:rsid w:val="00D44448"/>
    <w:rsid w:val="00D5585D"/>
    <w:rsid w:val="00D57084"/>
    <w:rsid w:val="00D57C5D"/>
    <w:rsid w:val="00D607A4"/>
    <w:rsid w:val="00D70230"/>
    <w:rsid w:val="00DC0194"/>
    <w:rsid w:val="00DC6C07"/>
    <w:rsid w:val="00DD0DCF"/>
    <w:rsid w:val="00DD6432"/>
    <w:rsid w:val="00DD647E"/>
    <w:rsid w:val="00DE414C"/>
    <w:rsid w:val="00DF2879"/>
    <w:rsid w:val="00E01E17"/>
    <w:rsid w:val="00E24C57"/>
    <w:rsid w:val="00E36D06"/>
    <w:rsid w:val="00E36F22"/>
    <w:rsid w:val="00E37C87"/>
    <w:rsid w:val="00E55AA8"/>
    <w:rsid w:val="00E9151D"/>
    <w:rsid w:val="00EB69D9"/>
    <w:rsid w:val="00EC26F7"/>
    <w:rsid w:val="00ED01E8"/>
    <w:rsid w:val="00ED1DB5"/>
    <w:rsid w:val="00ED3B52"/>
    <w:rsid w:val="00F01792"/>
    <w:rsid w:val="00F101C0"/>
    <w:rsid w:val="00F244D8"/>
    <w:rsid w:val="00F40481"/>
    <w:rsid w:val="00F64671"/>
    <w:rsid w:val="00FA3246"/>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93D4F"/>
  <w15:docId w15:val="{FE7E2B5F-C82A-49ED-AE1D-F9195B33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11780">
      <w:bodyDiv w:val="1"/>
      <w:marLeft w:val="0"/>
      <w:marRight w:val="0"/>
      <w:marTop w:val="0"/>
      <w:marBottom w:val="0"/>
      <w:divBdr>
        <w:top w:val="none" w:sz="0" w:space="0" w:color="auto"/>
        <w:left w:val="none" w:sz="0" w:space="0" w:color="auto"/>
        <w:bottom w:val="none" w:sz="0" w:space="0" w:color="auto"/>
        <w:right w:val="none" w:sz="0" w:space="0" w:color="auto"/>
      </w:divBdr>
    </w:div>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ro.org.au" TargetMode="External"/><Relationship Id="rId13" Type="http://schemas.openxmlformats.org/officeDocument/2006/relationships/hyperlink" Target="https://pubmed.ncbi.nlm.nih.gov/26484700/"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med.ncbi.nlm.nih.gov/2825099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epositorio.ufscar.br/handle/ufscar/975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22B71-E738-4A81-A712-222CD21A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4417</Words>
  <Characters>23858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Fernando Incerti</cp:lastModifiedBy>
  <cp:revision>3</cp:revision>
  <cp:lastPrinted>2017-08-23T18:44:00Z</cp:lastPrinted>
  <dcterms:created xsi:type="dcterms:W3CDTF">2021-10-11T11:39:00Z</dcterms:created>
  <dcterms:modified xsi:type="dcterms:W3CDTF">2021-10-15T20:31:00Z</dcterms:modified>
</cp:coreProperties>
</file>