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C5ED" w14:textId="52DC6B0B" w:rsidR="00760F8D" w:rsidRPr="009544B0" w:rsidRDefault="009603BE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IMPORTÂNCIA DA DIAGNOSE DE </w:t>
      </w:r>
      <w:r w:rsidR="001012B0">
        <w:rPr>
          <w:rFonts w:ascii="Times New Roman" w:hAnsi="Times New Roman"/>
          <w:b/>
          <w:sz w:val="24"/>
          <w:szCs w:val="24"/>
        </w:rPr>
        <w:t>NECROBIOSE LIPOÍDICA: RELATO DE CASO</w:t>
      </w:r>
    </w:p>
    <w:p w14:paraId="1E8EFE60" w14:textId="77777777" w:rsidR="00760F8D" w:rsidRPr="009544B0" w:rsidRDefault="00760F8D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C16437" w14:textId="2219CF27" w:rsidR="00760F8D" w:rsidRPr="009544B0" w:rsidRDefault="00627DB1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UYEDA, Eduardo.</w:t>
      </w:r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1"/>
      </w:r>
    </w:p>
    <w:p w14:paraId="0C2E8CCB" w14:textId="4C51B08C" w:rsidR="00760F8D" w:rsidRPr="009544B0" w:rsidRDefault="00627DB1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TOMASSON, Maria Laura.</w:t>
      </w:r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14:paraId="70DBF021" w14:textId="3A5B8E1A" w:rsidR="00760F8D" w:rsidRDefault="00627DB1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UYEDA, </w:t>
      </w:r>
      <w:proofErr w:type="spellStart"/>
      <w:r>
        <w:rPr>
          <w:rFonts w:ascii="Times New Roman" w:hAnsi="Times New Roman"/>
          <w:sz w:val="20"/>
          <w:szCs w:val="20"/>
        </w:rPr>
        <w:t>Hirofumi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4F6214" w:rsidRPr="009544B0">
        <w:rPr>
          <w:rStyle w:val="Refdenotaderodap"/>
          <w:rFonts w:ascii="Times New Roman" w:hAnsi="Times New Roman"/>
          <w:sz w:val="20"/>
          <w:szCs w:val="20"/>
        </w:rPr>
        <w:footnoteReference w:id="3"/>
      </w:r>
    </w:p>
    <w:p w14:paraId="6567573B" w14:textId="1A1CFBC7" w:rsidR="00627DB1" w:rsidRPr="00627DB1" w:rsidRDefault="00627DB1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MORAIS, Carlos Floriano de.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</w:p>
    <w:p w14:paraId="3AA00D72" w14:textId="77777777" w:rsidR="00621E32" w:rsidRPr="009544B0" w:rsidRDefault="00621E32" w:rsidP="00621E32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14:paraId="2930A868" w14:textId="77777777" w:rsidR="005611AB" w:rsidRPr="009544B0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544B0">
        <w:rPr>
          <w:rFonts w:ascii="Times New Roman" w:hAnsi="Times New Roman"/>
          <w:b/>
          <w:caps/>
          <w:sz w:val="20"/>
          <w:szCs w:val="20"/>
        </w:rPr>
        <w:t>R</w:t>
      </w:r>
      <w:r w:rsidR="004E16E7" w:rsidRPr="009544B0">
        <w:rPr>
          <w:rFonts w:ascii="Times New Roman" w:hAnsi="Times New Roman"/>
          <w:b/>
          <w:caps/>
          <w:sz w:val="20"/>
          <w:szCs w:val="20"/>
        </w:rPr>
        <w:t>esumo</w:t>
      </w:r>
    </w:p>
    <w:p w14:paraId="4AB95707" w14:textId="77777777" w:rsidR="005611AB" w:rsidRPr="009544B0" w:rsidRDefault="005611AB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AFF9660" w14:textId="77777777" w:rsidR="001012B0" w:rsidRPr="001012B0" w:rsidRDefault="001012B0" w:rsidP="001012B0">
      <w:pPr>
        <w:rPr>
          <w:rFonts w:ascii="Times New Roman" w:hAnsi="Times New Roman"/>
          <w:sz w:val="20"/>
          <w:szCs w:val="20"/>
        </w:rPr>
      </w:pPr>
      <w:r w:rsidRPr="001012B0">
        <w:rPr>
          <w:rFonts w:ascii="Times New Roman" w:hAnsi="Times New Roman"/>
          <w:sz w:val="20"/>
          <w:szCs w:val="20"/>
        </w:rPr>
        <w:t xml:space="preserve">Este relato de caso tem como objetivo evidenciar uma dermatose granulomatosa rara não </w:t>
      </w:r>
      <w:proofErr w:type="spellStart"/>
      <w:r w:rsidRPr="001012B0">
        <w:rPr>
          <w:rFonts w:ascii="Times New Roman" w:hAnsi="Times New Roman"/>
          <w:sz w:val="20"/>
          <w:szCs w:val="20"/>
        </w:rPr>
        <w:t>patognomônica</w:t>
      </w:r>
      <w:proofErr w:type="spellEnd"/>
      <w:r w:rsidRPr="001012B0">
        <w:rPr>
          <w:rFonts w:ascii="Times New Roman" w:hAnsi="Times New Roman"/>
          <w:sz w:val="20"/>
          <w:szCs w:val="20"/>
        </w:rPr>
        <w:t xml:space="preserve"> de diabetes mellitus, mas frequentemente relacionada com a diagnose. O caso clínico apresenta um adulto-jovem de 31 anos, sexo feminino, com diabetes mellitus tipo 2, que apresenta lesões em placa assintomática, com coloração amarelada, infiltrada e eritematosa, de crescimento progressivo, em região </w:t>
      </w:r>
      <w:proofErr w:type="spellStart"/>
      <w:r w:rsidRPr="001012B0">
        <w:rPr>
          <w:rFonts w:ascii="Times New Roman" w:hAnsi="Times New Roman"/>
          <w:sz w:val="20"/>
          <w:szCs w:val="20"/>
        </w:rPr>
        <w:t>pré</w:t>
      </w:r>
      <w:proofErr w:type="spellEnd"/>
      <w:r w:rsidRPr="001012B0">
        <w:rPr>
          <w:rFonts w:ascii="Times New Roman" w:hAnsi="Times New Roman"/>
          <w:sz w:val="20"/>
          <w:szCs w:val="20"/>
        </w:rPr>
        <w:t xml:space="preserve">-tibial e em face medial do terço superior da perna direita. O exame histopatológico, coletado através de biópsia incisional das lesões, confirmou o diagnóstico de necrobiose </w:t>
      </w:r>
      <w:proofErr w:type="spellStart"/>
      <w:r w:rsidRPr="001012B0">
        <w:rPr>
          <w:rFonts w:ascii="Times New Roman" w:hAnsi="Times New Roman"/>
          <w:sz w:val="20"/>
          <w:szCs w:val="20"/>
        </w:rPr>
        <w:t>lipoídica</w:t>
      </w:r>
      <w:proofErr w:type="spellEnd"/>
      <w:r w:rsidRPr="001012B0">
        <w:rPr>
          <w:rFonts w:ascii="Times New Roman" w:hAnsi="Times New Roman"/>
          <w:sz w:val="20"/>
          <w:szCs w:val="20"/>
        </w:rPr>
        <w:t xml:space="preserve">. A terapêutica escolhida foi a infiltração de corticoide </w:t>
      </w:r>
      <w:proofErr w:type="spellStart"/>
      <w:r w:rsidRPr="001012B0">
        <w:rPr>
          <w:rFonts w:ascii="Times New Roman" w:hAnsi="Times New Roman"/>
          <w:sz w:val="20"/>
          <w:szCs w:val="20"/>
        </w:rPr>
        <w:t>intralesional</w:t>
      </w:r>
      <w:proofErr w:type="spellEnd"/>
      <w:r w:rsidRPr="001012B0">
        <w:rPr>
          <w:rFonts w:ascii="Times New Roman" w:hAnsi="Times New Roman"/>
          <w:sz w:val="20"/>
          <w:szCs w:val="20"/>
        </w:rPr>
        <w:t xml:space="preserve">. As lesões apresentaram redução da infiltração e diâmetro, estabilizando o crescimento progressivo. O difícil diagnóstico é evidenciado como fundamental, tanto no aspecto de evitar terapêuticas desnecessárias ou errôneas aplicadas para outros diagnósticos diferenciais, quanto para evitar a morbimortalidade de complicações do Diabetes Mellitus, uma vez que a diagnose de NL pode preceder o diagnóstico de DM. </w:t>
      </w:r>
    </w:p>
    <w:p w14:paraId="67BEED46" w14:textId="77777777" w:rsidR="00DC6C07" w:rsidRPr="009544B0" w:rsidRDefault="00DC6C07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9A3C00" w14:textId="60FC91AE" w:rsidR="001012B0" w:rsidRPr="001012B0" w:rsidRDefault="005369A0" w:rsidP="001012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544B0">
        <w:rPr>
          <w:rFonts w:ascii="Times New Roman" w:hAnsi="Times New Roman"/>
          <w:b/>
          <w:sz w:val="20"/>
          <w:szCs w:val="20"/>
        </w:rPr>
        <w:t>PALAVRAS-CHAVE</w:t>
      </w:r>
      <w:r w:rsidR="00D40384" w:rsidRPr="009544B0">
        <w:rPr>
          <w:rFonts w:ascii="Times New Roman" w:hAnsi="Times New Roman"/>
          <w:sz w:val="20"/>
          <w:szCs w:val="20"/>
        </w:rPr>
        <w:t xml:space="preserve">: </w:t>
      </w:r>
      <w:r w:rsidR="001012B0">
        <w:rPr>
          <w:rFonts w:ascii="Times New Roman" w:hAnsi="Times New Roman"/>
          <w:sz w:val="20"/>
          <w:szCs w:val="20"/>
        </w:rPr>
        <w:t xml:space="preserve">Necrobiose </w:t>
      </w:r>
      <w:proofErr w:type="spellStart"/>
      <w:r w:rsidR="001012B0">
        <w:rPr>
          <w:rFonts w:ascii="Times New Roman" w:hAnsi="Times New Roman"/>
          <w:sz w:val="20"/>
          <w:szCs w:val="20"/>
        </w:rPr>
        <w:t>lipoídica</w:t>
      </w:r>
      <w:proofErr w:type="spellEnd"/>
      <w:r w:rsidR="001012B0">
        <w:rPr>
          <w:rFonts w:ascii="Times New Roman" w:hAnsi="Times New Roman"/>
          <w:sz w:val="20"/>
          <w:szCs w:val="20"/>
        </w:rPr>
        <w:t>, Diabetes Mellitus, Dermatose granulomatosa;</w:t>
      </w:r>
    </w:p>
    <w:p w14:paraId="6636C6E6" w14:textId="77777777" w:rsidR="0071287A" w:rsidRPr="00E37C87" w:rsidRDefault="0071287A" w:rsidP="005611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796395" w14:textId="77777777" w:rsidR="005611AB" w:rsidRPr="00E37C87" w:rsidRDefault="005611AB" w:rsidP="005611AB">
      <w:pPr>
        <w:pStyle w:val="Ttulo1"/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bookmarkStart w:id="0" w:name="_Toc358054186"/>
      <w:bookmarkStart w:id="1" w:name="_Toc360478776"/>
    </w:p>
    <w:p w14:paraId="71EE38E5" w14:textId="77777777" w:rsidR="005369A0" w:rsidRPr="009544B0" w:rsidRDefault="005369A0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  <w:r w:rsidRPr="009544B0">
        <w:rPr>
          <w:rFonts w:ascii="Times New Roman" w:hAnsi="Times New Roman" w:cs="Times New Roman"/>
        </w:rPr>
        <w:t>1</w:t>
      </w:r>
      <w:r w:rsidR="00CB5A9C" w:rsidRPr="009544B0">
        <w:rPr>
          <w:rFonts w:ascii="Times New Roman" w:hAnsi="Times New Roman" w:cs="Times New Roman"/>
        </w:rPr>
        <w:t>.</w:t>
      </w:r>
      <w:r w:rsidR="008E4BDA" w:rsidRPr="009544B0">
        <w:rPr>
          <w:rFonts w:ascii="Times New Roman" w:hAnsi="Times New Roman" w:cs="Times New Roman"/>
        </w:rPr>
        <w:t xml:space="preserve"> </w:t>
      </w:r>
      <w:r w:rsidRPr="009544B0">
        <w:rPr>
          <w:rFonts w:ascii="Times New Roman" w:hAnsi="Times New Roman" w:cs="Times New Roman"/>
        </w:rPr>
        <w:t>INTRODUÇÃO</w:t>
      </w:r>
      <w:bookmarkEnd w:id="0"/>
      <w:bookmarkEnd w:id="1"/>
    </w:p>
    <w:p w14:paraId="5B09AD5D" w14:textId="77777777" w:rsidR="005611AB" w:rsidRPr="009544B0" w:rsidRDefault="005369A0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ab/>
      </w:r>
    </w:p>
    <w:p w14:paraId="40DE6CBA" w14:textId="77777777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A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(NL) é uma dermatose granulomatosa rara, de etiologia não bem definida, relacionada ao diabetes mellitus (DM) em 75-90% dos casos. Afeta 0,3-1,2% dos pacientes diabéticos, a maioria com DM tipo 1. Tem início aproximadamente aos 30 anos de idade, sendo mais precoce em diabético e mais frequente no sexo feminino. Existem estudos que apontam que diabéticos com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tem mais risco de desenvolverem nefropatia e retinopatia comparativamente a diabéticos sem NL. </w:t>
      </w:r>
    </w:p>
    <w:p w14:paraId="32C00D52" w14:textId="694922DF" w:rsidR="002476A2" w:rsidRPr="009544B0" w:rsidRDefault="001012B0" w:rsidP="009603BE">
      <w:pPr>
        <w:spacing w:line="360" w:lineRule="auto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ab/>
        <w:t>Este artigo científico apresenta o caso de uma mulher de 31 anos, portadora de Diabetes Mellitus do tipo 2, que desenvolveu lesões cutâneas em membro inferior.</w:t>
      </w:r>
    </w:p>
    <w:p w14:paraId="0CCBD3B7" w14:textId="77777777" w:rsidR="005611AB" w:rsidRPr="009544B0" w:rsidRDefault="005611AB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bookmarkStart w:id="2" w:name="_Toc358054192"/>
      <w:bookmarkStart w:id="3" w:name="_Toc360478782"/>
    </w:p>
    <w:p w14:paraId="622B6B4B" w14:textId="4105F2BC" w:rsidR="002476A2" w:rsidRDefault="005E703E" w:rsidP="001012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 w:rsidRPr="009544B0">
        <w:rPr>
          <w:rFonts w:ascii="Times New Roman" w:hAnsi="Times New Roman"/>
          <w:b/>
          <w:szCs w:val="24"/>
        </w:rPr>
        <w:t>2</w:t>
      </w:r>
      <w:r w:rsidR="00CB5A9C" w:rsidRPr="009544B0">
        <w:rPr>
          <w:rFonts w:ascii="Times New Roman" w:hAnsi="Times New Roman"/>
          <w:b/>
          <w:szCs w:val="24"/>
        </w:rPr>
        <w:t>.</w:t>
      </w:r>
      <w:r w:rsidRPr="009544B0">
        <w:rPr>
          <w:rFonts w:ascii="Times New Roman" w:hAnsi="Times New Roman"/>
          <w:b/>
          <w:szCs w:val="24"/>
        </w:rPr>
        <w:t xml:space="preserve"> </w:t>
      </w:r>
      <w:bookmarkEnd w:id="2"/>
      <w:bookmarkEnd w:id="3"/>
      <w:r w:rsidR="001012B0">
        <w:rPr>
          <w:rFonts w:ascii="Times New Roman" w:hAnsi="Times New Roman"/>
          <w:b/>
          <w:szCs w:val="24"/>
        </w:rPr>
        <w:t>RELATO DE CASO</w:t>
      </w:r>
    </w:p>
    <w:p w14:paraId="1C3DF562" w14:textId="77777777" w:rsidR="001012B0" w:rsidRPr="001012B0" w:rsidRDefault="001012B0" w:rsidP="001012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</w:p>
    <w:p w14:paraId="24E76D46" w14:textId="1CCD7480" w:rsidR="001012B0" w:rsidRPr="00B54147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sz w:val="24"/>
          <w:szCs w:val="24"/>
        </w:rPr>
        <w:t xml:space="preserve">Paciente do sexo feminino de 31 anos de idade, relata surgimento de lesões cutâneas nas pernas há 3 anos, pouco pruriginosa e com aumento progressivo. Portadora de DM do tipo II, hipertensão e hipotireoidismo, em tratamento com Metformina, </w:t>
      </w:r>
      <w:proofErr w:type="spellStart"/>
      <w:r w:rsidRPr="00B54147">
        <w:rPr>
          <w:rFonts w:ascii="Times New Roman" w:hAnsi="Times New Roman"/>
          <w:sz w:val="24"/>
          <w:szCs w:val="24"/>
        </w:rPr>
        <w:t>Enalapril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54147">
        <w:rPr>
          <w:rFonts w:ascii="Times New Roman" w:hAnsi="Times New Roman"/>
          <w:sz w:val="24"/>
          <w:szCs w:val="24"/>
        </w:rPr>
        <w:t>Levotiroxina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respectivamente. Ao exame físico, foi observada uma placa infiltrada, eritematosa, com coloração amarelada na região </w:t>
      </w:r>
      <w:proofErr w:type="spellStart"/>
      <w:r w:rsidRPr="00B54147">
        <w:rPr>
          <w:rFonts w:ascii="Times New Roman" w:hAnsi="Times New Roman"/>
          <w:sz w:val="24"/>
          <w:szCs w:val="24"/>
        </w:rPr>
        <w:t>pré</w:t>
      </w:r>
      <w:proofErr w:type="spellEnd"/>
      <w:r w:rsidRPr="00B54147">
        <w:rPr>
          <w:rFonts w:ascii="Times New Roman" w:hAnsi="Times New Roman"/>
          <w:sz w:val="24"/>
          <w:szCs w:val="24"/>
        </w:rPr>
        <w:t>-tibial esquerda, medindo 7 x 5 cm e outra na face medial do terço superior da perna direita, com características semelhantes medindo 3 x 3 cm (</w:t>
      </w:r>
      <w:r w:rsidRPr="00B54147">
        <w:rPr>
          <w:rFonts w:ascii="Times New Roman" w:hAnsi="Times New Roman"/>
          <w:b/>
          <w:bCs/>
          <w:sz w:val="24"/>
          <w:szCs w:val="24"/>
        </w:rPr>
        <w:t>Figura 1, 2</w:t>
      </w:r>
      <w:r w:rsidRPr="00B54147">
        <w:rPr>
          <w:rFonts w:ascii="Times New Roman" w:hAnsi="Times New Roman"/>
          <w:sz w:val="24"/>
          <w:szCs w:val="24"/>
        </w:rPr>
        <w:t xml:space="preserve">).  </w:t>
      </w:r>
    </w:p>
    <w:p w14:paraId="0E70BE9B" w14:textId="7F4B78B4" w:rsidR="002A7543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sz w:val="24"/>
          <w:szCs w:val="24"/>
        </w:rPr>
        <w:t xml:space="preserve">A hipótese clínica de necrobiose </w:t>
      </w:r>
      <w:proofErr w:type="spellStart"/>
      <w:r w:rsidRPr="00B54147">
        <w:rPr>
          <w:rFonts w:ascii="Times New Roman" w:hAnsi="Times New Roman"/>
          <w:sz w:val="24"/>
          <w:szCs w:val="24"/>
        </w:rPr>
        <w:t>lipoídica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foi confirmada através de exame anatomopatológico. O resultado da biópsia incisional demonstrou dermatite granulomatosa com granulomas do tipo necrobióticos, achados altamente compatíveis com NL (</w:t>
      </w:r>
      <w:r w:rsidRPr="00B54147">
        <w:rPr>
          <w:rFonts w:ascii="Times New Roman" w:hAnsi="Times New Roman"/>
          <w:b/>
          <w:bCs/>
          <w:sz w:val="24"/>
          <w:szCs w:val="24"/>
        </w:rPr>
        <w:t>Figura 3</w:t>
      </w:r>
      <w:r w:rsidRPr="00B54147">
        <w:rPr>
          <w:rFonts w:ascii="Times New Roman" w:hAnsi="Times New Roman"/>
          <w:sz w:val="24"/>
          <w:szCs w:val="24"/>
        </w:rPr>
        <w:t xml:space="preserve">). Paciente foi tratado </w:t>
      </w:r>
      <w:r w:rsidR="001B251D" w:rsidRPr="00B54147">
        <w:rPr>
          <w:rFonts w:ascii="Times New Roman" w:hAnsi="Times New Roman"/>
          <w:sz w:val="24"/>
          <w:szCs w:val="24"/>
        </w:rPr>
        <w:t>com corticoide</w:t>
      </w:r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intralesional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e apresentou melhora do quadro clínico.</w:t>
      </w:r>
    </w:p>
    <w:p w14:paraId="3FC8EE38" w14:textId="77777777" w:rsidR="004321A9" w:rsidRDefault="00B54147" w:rsidP="004321A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14B7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7B61153" wp14:editId="376550C8">
            <wp:extent cx="3871729" cy="3162300"/>
            <wp:effectExtent l="0" t="0" r="0" b="0"/>
            <wp:docPr id="2" name="Imagem 2" descr="Figura 1. Aspecto clínico da necrobiose lipoídica, na região pré-tibial esquerda em adulto-jovem de 31 anos, sexo feminino, portadora de diabetes mellitus tipo 2. &#10;Nota-se placa infiltrada, eritematosa, com coloração amarela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igura 1. Aspecto clínico da necrobiose lipoídica, na região pré-tibial esquerda em adulto-jovem de 31 anos, sexo feminino, portadora de diabetes mellitus tipo 2. &#10;Nota-se placa infiltrada, eritematosa, com coloração amarelad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643" cy="316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A3844" w14:textId="21F2E795" w:rsidR="00814B74" w:rsidRDefault="00814B74" w:rsidP="004321A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14B74">
        <w:rPr>
          <w:rFonts w:ascii="Times New Roman" w:hAnsi="Times New Roman"/>
          <w:b/>
          <w:sz w:val="24"/>
          <w:szCs w:val="24"/>
        </w:rPr>
        <w:t xml:space="preserve">Figura 1. </w:t>
      </w:r>
      <w:r w:rsidRPr="00814B74">
        <w:rPr>
          <w:rFonts w:ascii="Times New Roman" w:hAnsi="Times New Roman"/>
          <w:bCs/>
          <w:sz w:val="24"/>
          <w:szCs w:val="24"/>
        </w:rPr>
        <w:t xml:space="preserve">Aspecto clínico da necrobiose </w:t>
      </w:r>
      <w:proofErr w:type="spellStart"/>
      <w:r w:rsidRPr="00814B74">
        <w:rPr>
          <w:rFonts w:ascii="Times New Roman" w:hAnsi="Times New Roman"/>
          <w:bCs/>
          <w:sz w:val="24"/>
          <w:szCs w:val="24"/>
        </w:rPr>
        <w:t>lipoídica</w:t>
      </w:r>
      <w:proofErr w:type="spellEnd"/>
      <w:r w:rsidRPr="00814B74">
        <w:rPr>
          <w:rFonts w:ascii="Times New Roman" w:hAnsi="Times New Roman"/>
          <w:bCs/>
          <w:sz w:val="24"/>
          <w:szCs w:val="24"/>
        </w:rPr>
        <w:t xml:space="preserve">, na região </w:t>
      </w:r>
      <w:proofErr w:type="spellStart"/>
      <w:r w:rsidRPr="00814B74">
        <w:rPr>
          <w:rFonts w:ascii="Times New Roman" w:hAnsi="Times New Roman"/>
          <w:bCs/>
          <w:sz w:val="24"/>
          <w:szCs w:val="24"/>
        </w:rPr>
        <w:t>pré</w:t>
      </w:r>
      <w:proofErr w:type="spellEnd"/>
      <w:r w:rsidRPr="00814B74">
        <w:rPr>
          <w:rFonts w:ascii="Times New Roman" w:hAnsi="Times New Roman"/>
          <w:bCs/>
          <w:sz w:val="24"/>
          <w:szCs w:val="24"/>
        </w:rPr>
        <w:t xml:space="preserve">-tibial </w:t>
      </w:r>
      <w:r w:rsidR="00AB1EBE">
        <w:rPr>
          <w:rFonts w:ascii="Times New Roman" w:hAnsi="Times New Roman"/>
          <w:bCs/>
          <w:sz w:val="24"/>
          <w:szCs w:val="24"/>
        </w:rPr>
        <w:t>esquerda.</w:t>
      </w:r>
    </w:p>
    <w:p w14:paraId="14171EAE" w14:textId="736C27EB" w:rsidR="004321A9" w:rsidRDefault="004321A9" w:rsidP="004321A9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 wp14:anchorId="17444641" wp14:editId="7A2CD001">
            <wp:extent cx="2438400" cy="3192843"/>
            <wp:effectExtent l="0" t="0" r="0" b="7620"/>
            <wp:docPr id="4" name="Imagem 4" descr="Tatuagem no braç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atuagem no braç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15" cy="321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A6F6" w14:textId="7F15D6E2" w:rsidR="00B54147" w:rsidRDefault="004321A9" w:rsidP="00B54147">
      <w:pPr>
        <w:spacing w:line="360" w:lineRule="auto"/>
        <w:rPr>
          <w:rFonts w:ascii="Times New Roman" w:hAnsi="Times New Roman"/>
          <w:sz w:val="24"/>
          <w:szCs w:val="24"/>
        </w:rPr>
      </w:pPr>
      <w:r w:rsidRPr="004321A9">
        <w:rPr>
          <w:rFonts w:ascii="Times New Roman" w:hAnsi="Times New Roman"/>
          <w:b/>
          <w:bCs/>
          <w:sz w:val="24"/>
          <w:szCs w:val="24"/>
        </w:rPr>
        <w:t>Figura 2.</w:t>
      </w:r>
      <w:r>
        <w:rPr>
          <w:rFonts w:ascii="Times New Roman" w:hAnsi="Times New Roman"/>
          <w:sz w:val="24"/>
          <w:szCs w:val="24"/>
        </w:rPr>
        <w:t xml:space="preserve"> Aspecto clínico da necrobiose </w:t>
      </w:r>
      <w:proofErr w:type="spellStart"/>
      <w:r>
        <w:rPr>
          <w:rFonts w:ascii="Times New Roman" w:hAnsi="Times New Roman"/>
          <w:sz w:val="24"/>
          <w:szCs w:val="24"/>
        </w:rPr>
        <w:t>lipoídica</w:t>
      </w:r>
      <w:proofErr w:type="spellEnd"/>
      <w:r>
        <w:rPr>
          <w:rFonts w:ascii="Times New Roman" w:hAnsi="Times New Roman"/>
          <w:sz w:val="24"/>
          <w:szCs w:val="24"/>
        </w:rPr>
        <w:t xml:space="preserve"> em região </w:t>
      </w:r>
      <w:r w:rsidRPr="00B54147">
        <w:rPr>
          <w:rFonts w:ascii="Times New Roman" w:hAnsi="Times New Roman"/>
          <w:sz w:val="24"/>
          <w:szCs w:val="24"/>
        </w:rPr>
        <w:t>medial do terço superior da perna direita</w:t>
      </w:r>
      <w:r w:rsidR="00AB1EBE">
        <w:rPr>
          <w:rFonts w:ascii="Times New Roman" w:hAnsi="Times New Roman"/>
          <w:sz w:val="24"/>
          <w:szCs w:val="24"/>
        </w:rPr>
        <w:t>.</w:t>
      </w:r>
    </w:p>
    <w:p w14:paraId="682D4DB2" w14:textId="39D57A7E" w:rsidR="004321A9" w:rsidRDefault="004321A9" w:rsidP="00B541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4712E86" wp14:editId="7666F193">
            <wp:extent cx="4743450" cy="3331439"/>
            <wp:effectExtent l="0" t="0" r="0" b="2540"/>
            <wp:docPr id="6" name="Imagem 5" descr="Desenho de uma pesso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Desenho de uma pessoa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647" cy="334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0D74" w14:textId="2DA47236" w:rsidR="004321A9" w:rsidRPr="00B54147" w:rsidRDefault="004321A9" w:rsidP="00B54147">
      <w:pPr>
        <w:spacing w:line="360" w:lineRule="auto"/>
        <w:rPr>
          <w:rFonts w:ascii="Times New Roman" w:hAnsi="Times New Roman"/>
          <w:sz w:val="24"/>
          <w:szCs w:val="24"/>
        </w:rPr>
      </w:pPr>
      <w:r w:rsidRPr="00627DB1">
        <w:rPr>
          <w:rFonts w:ascii="Times New Roman" w:hAnsi="Times New Roman"/>
          <w:b/>
          <w:bCs/>
          <w:sz w:val="24"/>
          <w:szCs w:val="24"/>
        </w:rPr>
        <w:t>Figura 3.</w:t>
      </w:r>
      <w:r>
        <w:rPr>
          <w:rFonts w:ascii="Times New Roman" w:hAnsi="Times New Roman"/>
          <w:sz w:val="24"/>
          <w:szCs w:val="24"/>
        </w:rPr>
        <w:t xml:space="preserve"> </w:t>
      </w:r>
      <w:r w:rsidR="00627DB1">
        <w:rPr>
          <w:rFonts w:ascii="Times New Roman" w:hAnsi="Times New Roman"/>
          <w:sz w:val="24"/>
          <w:szCs w:val="24"/>
        </w:rPr>
        <w:t>Exame histopatológico da lesão corados pela técnica hematoxilina e eosina (HE). Vista</w:t>
      </w:r>
      <w:r>
        <w:rPr>
          <w:rFonts w:ascii="Times New Roman" w:hAnsi="Times New Roman"/>
          <w:sz w:val="24"/>
          <w:szCs w:val="24"/>
        </w:rPr>
        <w:t xml:space="preserve"> panorâmica da pele. Notam-se camadas alternadas de colágeno degenerado e camadas mais celulares.</w:t>
      </w:r>
    </w:p>
    <w:p w14:paraId="2484116A" w14:textId="1E435586" w:rsidR="0003128C" w:rsidRPr="009544B0" w:rsidRDefault="001012B0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4" w:name="_Toc358054228"/>
      <w:bookmarkStart w:id="5" w:name="_Toc360478817"/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5458B2" w:rsidRPr="009544B0">
        <w:rPr>
          <w:rFonts w:ascii="Times New Roman" w:hAnsi="Times New Roman"/>
          <w:b/>
          <w:sz w:val="24"/>
          <w:szCs w:val="24"/>
        </w:rPr>
        <w:t>.</w:t>
      </w:r>
      <w:r w:rsidR="0003128C" w:rsidRPr="009544B0">
        <w:rPr>
          <w:rFonts w:ascii="Times New Roman" w:hAnsi="Times New Roman"/>
          <w:b/>
          <w:sz w:val="24"/>
          <w:szCs w:val="24"/>
        </w:rPr>
        <w:t xml:space="preserve"> </w:t>
      </w:r>
      <w:bookmarkEnd w:id="4"/>
      <w:bookmarkEnd w:id="5"/>
      <w:r>
        <w:rPr>
          <w:rFonts w:ascii="Times New Roman" w:hAnsi="Times New Roman"/>
          <w:b/>
          <w:sz w:val="24"/>
          <w:szCs w:val="24"/>
        </w:rPr>
        <w:t>FUNDAMENTAÇÃO TEÓRICA</w:t>
      </w:r>
    </w:p>
    <w:p w14:paraId="799CCA53" w14:textId="77777777" w:rsidR="005458B2" w:rsidRPr="009544B0" w:rsidRDefault="005458B2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62E2848" w14:textId="77777777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A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é uma dermatopatia rara, caracterizada por áreas de degeneração do colágeno com eventual depósito secundário de lipídeos. Ocorre em 0,3% dos diabéticos, mais frequentemente DM do tipo I, mas também vendo sendo descrita em portadores de DM tipo 2. Em 60% dos casos, o diabetes precede o diagnóstico de NL e, em 25% dos casos, a necrobiose coincide com o início do diabetes.</w:t>
      </w:r>
    </w:p>
    <w:p w14:paraId="43CC471F" w14:textId="537E98FD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A etiologia permanece desconhecida. Contudo, devido à sua relação </w:t>
      </w:r>
      <w:r w:rsidR="001B251D" w:rsidRPr="001B251D">
        <w:rPr>
          <w:rFonts w:ascii="Times New Roman" w:hAnsi="Times New Roman"/>
          <w:sz w:val="24"/>
          <w:szCs w:val="24"/>
        </w:rPr>
        <w:t>c</w:t>
      </w:r>
      <w:r w:rsidRPr="001012B0">
        <w:rPr>
          <w:rFonts w:ascii="Times New Roman" w:hAnsi="Times New Roman"/>
          <w:sz w:val="24"/>
          <w:szCs w:val="24"/>
        </w:rPr>
        <w:t xml:space="preserve">om o diagnóstico de DM (75-90% dos doentes com </w:t>
      </w:r>
      <w:r w:rsidRPr="001B251D">
        <w:rPr>
          <w:rFonts w:ascii="Times New Roman" w:hAnsi="Times New Roman"/>
          <w:sz w:val="24"/>
          <w:szCs w:val="24"/>
        </w:rPr>
        <w:t xml:space="preserve">NL tem ou irá desenvolver DM tipo 1), </w:t>
      </w:r>
      <w:r w:rsidR="001B251D" w:rsidRPr="001B251D">
        <w:rPr>
          <w:rFonts w:ascii="Times New Roman" w:hAnsi="Times New Roman"/>
          <w:sz w:val="24"/>
          <w:szCs w:val="24"/>
        </w:rPr>
        <w:t>entende-se</w:t>
      </w:r>
      <w:r w:rsidRPr="001B251D">
        <w:rPr>
          <w:rFonts w:ascii="Times New Roman" w:hAnsi="Times New Roman"/>
          <w:sz w:val="24"/>
          <w:szCs w:val="24"/>
        </w:rPr>
        <w:t xml:space="preserve"> </w:t>
      </w:r>
      <w:r w:rsidRPr="001012B0">
        <w:rPr>
          <w:rFonts w:ascii="Times New Roman" w:hAnsi="Times New Roman"/>
          <w:sz w:val="24"/>
          <w:szCs w:val="24"/>
        </w:rPr>
        <w:t>que sua origem pode estar relacionada a uma microangiopatia.</w:t>
      </w:r>
    </w:p>
    <w:p w14:paraId="0ED1387F" w14:textId="2A2DB0D0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A NL pode ocorrer em qualquer idade, sendo mais frequente em adultos </w:t>
      </w:r>
      <w:r w:rsidRPr="001B251D">
        <w:rPr>
          <w:rFonts w:ascii="Times New Roman" w:hAnsi="Times New Roman"/>
          <w:sz w:val="24"/>
          <w:szCs w:val="24"/>
        </w:rPr>
        <w:t>jovens</w:t>
      </w:r>
      <w:r w:rsidRPr="001012B0">
        <w:rPr>
          <w:rFonts w:ascii="Times New Roman" w:hAnsi="Times New Roman"/>
          <w:sz w:val="24"/>
          <w:szCs w:val="24"/>
        </w:rPr>
        <w:t>, além de ser três vezes mais prevalente em indivíduos do sexo feminino. As lesões clássicas são caracterizadas por uma ou mais placas violáceas na periferia e amareladas no centro, bem demarcadas. Localizam-se nas superfícies anteriores e laterais da porção inferior das pernas, uni ou bilateralmente. Raramente acomete os membros superiores, face e couro cabeludo.</w:t>
      </w:r>
    </w:p>
    <w:p w14:paraId="0B711783" w14:textId="77777777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O diagnóstico da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é clínico. Esse, pode ser corroborado pelo exame histopatológico através de biópsia da lesão. Existem dois padrões histológicos principais: necrobiótico e granulomatoso. O necrobiótico consiste em áreas de degeneração do colágeno na derme, alterações vasculares e infiltrado inflamatório de composição celular variada. No padrão granulomatoso há a presença de células </w:t>
      </w:r>
      <w:proofErr w:type="spellStart"/>
      <w:r w:rsidRPr="001012B0">
        <w:rPr>
          <w:rFonts w:ascii="Times New Roman" w:hAnsi="Times New Roman"/>
          <w:sz w:val="24"/>
          <w:szCs w:val="24"/>
        </w:rPr>
        <w:t>epitelióides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e células gigantes. Devem ser considerados diagnósticos diferenciais: granuloma anular, sarcoidose, esclerodermia em placas, xantomas e paniculites. A ulceração é a complicação mais frequente e pode surgir em 25 a 33% dos casos.</w:t>
      </w:r>
    </w:p>
    <w:p w14:paraId="0C9FB8FC" w14:textId="585B4291" w:rsidR="001012B0" w:rsidRPr="001012B0" w:rsidRDefault="001012B0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t xml:space="preserve">A terapêutica é ampla, mas nenhuma demonstrou ser realmente eficaz. Corticoides tópicos em curativos oclusivos e por infiltrações </w:t>
      </w:r>
      <w:proofErr w:type="spellStart"/>
      <w:r w:rsidRPr="001012B0">
        <w:rPr>
          <w:rFonts w:ascii="Times New Roman" w:hAnsi="Times New Roman"/>
          <w:sz w:val="24"/>
          <w:szCs w:val="24"/>
        </w:rPr>
        <w:t>intralesionais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apresentam melhora transitória do quadro. O uso prolongado do mesmo deve ser evitado visto que pode levar à atrofia da lesão, aumento o risco de ulceração. Estudos prévios demonstraram que o prognóstico da NL parecia ser independente do curso da DM e que o controle glicêmico estaria relacionado com o início e gravidade da lesão. Contudo, novos estudos já começam a estabelecer uma relação entre a existência de um controle metabólico</w:t>
      </w:r>
      <w:r w:rsidR="001B251D">
        <w:rPr>
          <w:rFonts w:ascii="Times New Roman" w:hAnsi="Times New Roman"/>
          <w:sz w:val="24"/>
          <w:szCs w:val="24"/>
        </w:rPr>
        <w:t xml:space="preserve"> precário</w:t>
      </w:r>
      <w:r w:rsidRPr="001012B0">
        <w:rPr>
          <w:rFonts w:ascii="Times New Roman" w:hAnsi="Times New Roman"/>
          <w:sz w:val="24"/>
          <w:szCs w:val="24"/>
        </w:rPr>
        <w:t xml:space="preserve"> e o desenvolvimento de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evidenciando a necessidade de controle rigoroso do controle glicêmico.</w:t>
      </w:r>
    </w:p>
    <w:p w14:paraId="7950DE48" w14:textId="03E1926B" w:rsidR="00627DB1" w:rsidRDefault="001012B0" w:rsidP="00627DB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1012B0">
        <w:rPr>
          <w:rFonts w:ascii="Times New Roman" w:hAnsi="Times New Roman"/>
          <w:sz w:val="24"/>
          <w:szCs w:val="24"/>
        </w:rPr>
        <w:lastRenderedPageBreak/>
        <w:t xml:space="preserve">A presença de necrobiose </w:t>
      </w:r>
      <w:proofErr w:type="spellStart"/>
      <w:r w:rsidRPr="001012B0">
        <w:rPr>
          <w:rFonts w:ascii="Times New Roman" w:hAnsi="Times New Roman"/>
          <w:sz w:val="24"/>
          <w:szCs w:val="24"/>
        </w:rPr>
        <w:t>lipoídica</w:t>
      </w:r>
      <w:proofErr w:type="spellEnd"/>
      <w:r w:rsidRPr="001012B0">
        <w:rPr>
          <w:rFonts w:ascii="Times New Roman" w:hAnsi="Times New Roman"/>
          <w:sz w:val="24"/>
          <w:szCs w:val="24"/>
        </w:rPr>
        <w:t xml:space="preserve"> em pacientes diabéticos apresent</w:t>
      </w:r>
      <w:r w:rsidR="00043450">
        <w:rPr>
          <w:rFonts w:ascii="Times New Roman" w:hAnsi="Times New Roman"/>
          <w:sz w:val="24"/>
          <w:szCs w:val="24"/>
        </w:rPr>
        <w:t>a</w:t>
      </w:r>
      <w:r w:rsidRPr="001012B0">
        <w:rPr>
          <w:rFonts w:ascii="Times New Roman" w:hAnsi="Times New Roman"/>
          <w:sz w:val="24"/>
          <w:szCs w:val="24"/>
        </w:rPr>
        <w:t xml:space="preserve"> mai</w:t>
      </w:r>
      <w:r w:rsidR="00043450">
        <w:rPr>
          <w:rFonts w:ascii="Times New Roman" w:hAnsi="Times New Roman"/>
          <w:sz w:val="24"/>
          <w:szCs w:val="24"/>
        </w:rPr>
        <w:t>or</w:t>
      </w:r>
      <w:r w:rsidRPr="001012B0">
        <w:rPr>
          <w:rFonts w:ascii="Times New Roman" w:hAnsi="Times New Roman"/>
          <w:sz w:val="24"/>
          <w:szCs w:val="24"/>
        </w:rPr>
        <w:t xml:space="preserve"> risco de desenvolv</w:t>
      </w:r>
      <w:r w:rsidR="00043450">
        <w:rPr>
          <w:rFonts w:ascii="Times New Roman" w:hAnsi="Times New Roman"/>
          <w:sz w:val="24"/>
          <w:szCs w:val="24"/>
        </w:rPr>
        <w:t>imento de</w:t>
      </w:r>
      <w:r w:rsidRPr="001012B0">
        <w:rPr>
          <w:rFonts w:ascii="Times New Roman" w:hAnsi="Times New Roman"/>
          <w:sz w:val="24"/>
          <w:szCs w:val="24"/>
        </w:rPr>
        <w:t xml:space="preserve"> retinopatia e nefropatia comparativamente a diabéticos sem NL. A última, é grande causa de morbidade e mortalidade em pacientes com diabetes tipo 1. Mesmo não apresentando grande morbimortalidade por si só, a patologia pode evidenciar a presença de diabetes ou o descontrole dessa. Além disso, a hiperglicemia, no longo prazo, culmina em outros processos patológicos intensos, podendo causar complicações, disfunções e insuficiência de vários órgãos e, portanto, comprometer a autonomia e a qualidade de vida do indivíduo acometido. </w:t>
      </w:r>
    </w:p>
    <w:p w14:paraId="3AC5AFC4" w14:textId="77777777" w:rsidR="00627DB1" w:rsidRPr="009544B0" w:rsidRDefault="00627DB1" w:rsidP="00627DB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4D1B2535" w14:textId="333DBEE8" w:rsidR="00A50670" w:rsidRPr="009544B0" w:rsidRDefault="001012B0" w:rsidP="009544B0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6" w:name="_Toc358054244"/>
      <w:bookmarkStart w:id="7" w:name="_Toc360478833"/>
      <w:r>
        <w:rPr>
          <w:rFonts w:ascii="Times New Roman" w:hAnsi="Times New Roman" w:cs="Times New Roman"/>
        </w:rPr>
        <w:t>4</w:t>
      </w:r>
      <w:r w:rsidR="00CB5A9C" w:rsidRPr="009544B0">
        <w:rPr>
          <w:rFonts w:ascii="Times New Roman" w:hAnsi="Times New Roman" w:cs="Times New Roman"/>
        </w:rPr>
        <w:t>.</w:t>
      </w:r>
      <w:r w:rsidR="00A50670" w:rsidRPr="009544B0">
        <w:rPr>
          <w:rFonts w:ascii="Times New Roman" w:hAnsi="Times New Roman" w:cs="Times New Roman"/>
        </w:rPr>
        <w:t xml:space="preserve"> CONSIDERAÇÕES FINAIS</w:t>
      </w:r>
      <w:bookmarkEnd w:id="6"/>
      <w:bookmarkEnd w:id="7"/>
    </w:p>
    <w:p w14:paraId="256F41DE" w14:textId="77777777" w:rsidR="009333C2" w:rsidRPr="009544B0" w:rsidRDefault="009333C2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282A769" w14:textId="7FBABF26" w:rsidR="001012B0" w:rsidRPr="001012B0" w:rsidRDefault="006D5194" w:rsidP="001012B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bookmarkStart w:id="8" w:name="_Toc358054245"/>
      <w:bookmarkStart w:id="9" w:name="_Toc360478834"/>
      <w:r>
        <w:rPr>
          <w:rFonts w:ascii="Times New Roman" w:hAnsi="Times New Roman"/>
          <w:sz w:val="24"/>
          <w:szCs w:val="24"/>
        </w:rPr>
        <w:t>Este</w:t>
      </w:r>
      <w:r w:rsidR="001012B0" w:rsidRPr="001012B0">
        <w:rPr>
          <w:rFonts w:ascii="Times New Roman" w:hAnsi="Times New Roman"/>
          <w:sz w:val="24"/>
          <w:szCs w:val="24"/>
        </w:rPr>
        <w:t xml:space="preserve"> relato de caso de uma paciente com perfil epidemiológico, quadro clínico e laudo histopatológico de apresentação clássica da doença, evidencia a necessidade do diagnóstico, uma vez que esse pode diminuir a morbimortalidade das complicações da diabetes.</w:t>
      </w:r>
    </w:p>
    <w:p w14:paraId="5F6C9D4D" w14:textId="5C760C88" w:rsidR="002A7543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02E08" w:rsidRPr="009544B0">
        <w:rPr>
          <w:rFonts w:ascii="Times New Roman" w:hAnsi="Times New Roman"/>
          <w:b/>
          <w:sz w:val="24"/>
          <w:szCs w:val="24"/>
        </w:rPr>
        <w:lastRenderedPageBreak/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="00702E08" w:rsidRPr="009544B0">
        <w:rPr>
          <w:rFonts w:ascii="Times New Roman" w:hAnsi="Times New Roman"/>
          <w:b/>
          <w:sz w:val="24"/>
          <w:szCs w:val="24"/>
        </w:rPr>
        <w:t>NCIAS</w:t>
      </w:r>
      <w:bookmarkEnd w:id="8"/>
      <w:bookmarkEnd w:id="9"/>
    </w:p>
    <w:p w14:paraId="37CBA362" w14:textId="77777777" w:rsidR="001012B0" w:rsidRPr="009544B0" w:rsidRDefault="001012B0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2C3218D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B54147">
        <w:rPr>
          <w:rFonts w:ascii="Times New Roman" w:hAnsi="Times New Roman"/>
          <w:sz w:val="24"/>
          <w:szCs w:val="24"/>
        </w:rPr>
        <w:t>Bonura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B54147">
        <w:rPr>
          <w:rFonts w:ascii="Times New Roman" w:hAnsi="Times New Roman"/>
          <w:sz w:val="24"/>
          <w:szCs w:val="24"/>
        </w:rPr>
        <w:t>Frontino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B54147">
        <w:rPr>
          <w:rFonts w:ascii="Times New Roman" w:hAnsi="Times New Roman"/>
          <w:sz w:val="24"/>
          <w:szCs w:val="24"/>
        </w:rPr>
        <w:t>Rigamonti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B54147">
        <w:rPr>
          <w:rFonts w:ascii="Times New Roman" w:hAnsi="Times New Roman"/>
          <w:sz w:val="24"/>
          <w:szCs w:val="24"/>
        </w:rPr>
        <w:t>Battaglino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B54147">
        <w:rPr>
          <w:rFonts w:ascii="Times New Roman" w:hAnsi="Times New Roman"/>
          <w:sz w:val="24"/>
          <w:szCs w:val="24"/>
        </w:rPr>
        <w:t>Favalli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V, Ferro G, </w:t>
      </w:r>
      <w:proofErr w:type="spellStart"/>
      <w:r w:rsidRPr="00B54147">
        <w:rPr>
          <w:rFonts w:ascii="Times New Roman" w:hAnsi="Times New Roman"/>
          <w:sz w:val="24"/>
          <w:szCs w:val="24"/>
        </w:rPr>
        <w:t>Rubino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C, Del Barba P, </w:t>
      </w:r>
      <w:proofErr w:type="spellStart"/>
      <w:r w:rsidRPr="00B54147">
        <w:rPr>
          <w:rFonts w:ascii="Times New Roman" w:hAnsi="Times New Roman"/>
          <w:sz w:val="24"/>
          <w:szCs w:val="24"/>
        </w:rPr>
        <w:t>Pesapane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B54147">
        <w:rPr>
          <w:rFonts w:ascii="Times New Roman" w:hAnsi="Times New Roman"/>
          <w:sz w:val="24"/>
          <w:szCs w:val="24"/>
        </w:rPr>
        <w:t>Nazzaro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B54147">
        <w:rPr>
          <w:rFonts w:ascii="Times New Roman" w:hAnsi="Times New Roman"/>
          <w:sz w:val="24"/>
          <w:szCs w:val="24"/>
        </w:rPr>
        <w:t>Gianotti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B54147">
        <w:rPr>
          <w:rFonts w:ascii="Times New Roman" w:hAnsi="Times New Roman"/>
          <w:sz w:val="24"/>
          <w:szCs w:val="24"/>
        </w:rPr>
        <w:t>Bonfanti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B54147">
        <w:rPr>
          <w:rFonts w:ascii="Times New Roman" w:hAnsi="Times New Roman"/>
          <w:sz w:val="24"/>
          <w:szCs w:val="24"/>
        </w:rPr>
        <w:t>Meschi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B54147">
        <w:rPr>
          <w:rFonts w:ascii="Times New Roman" w:hAnsi="Times New Roman"/>
          <w:sz w:val="24"/>
          <w:szCs w:val="24"/>
        </w:rPr>
        <w:t>Chiumell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G. </w:t>
      </w:r>
      <w:proofErr w:type="spellStart"/>
      <w:r w:rsidRPr="00B54147">
        <w:rPr>
          <w:rFonts w:ascii="Times New Roman" w:hAnsi="Times New Roman"/>
          <w:sz w:val="24"/>
          <w:szCs w:val="24"/>
        </w:rPr>
        <w:t>Necrobiosis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Lipoidica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Diabeticorum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B54147">
        <w:rPr>
          <w:rFonts w:ascii="Times New Roman" w:hAnsi="Times New Roman"/>
          <w:sz w:val="24"/>
          <w:szCs w:val="24"/>
        </w:rPr>
        <w:t>pediatric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case report. </w:t>
      </w:r>
      <w:proofErr w:type="spellStart"/>
      <w:r w:rsidRPr="00B54147">
        <w:rPr>
          <w:rFonts w:ascii="Times New Roman" w:hAnsi="Times New Roman"/>
          <w:b/>
          <w:bCs/>
          <w:sz w:val="24"/>
          <w:szCs w:val="24"/>
        </w:rPr>
        <w:t>Dermatoendocrinol</w:t>
      </w:r>
      <w:proofErr w:type="spellEnd"/>
      <w:r w:rsidRPr="00B54147">
        <w:rPr>
          <w:rFonts w:ascii="Times New Roman" w:hAnsi="Times New Roman"/>
          <w:sz w:val="24"/>
          <w:szCs w:val="24"/>
        </w:rPr>
        <w:t>. 2014;6:e983683. https://doi.org/10.4161/derm.27790</w:t>
      </w: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2EAEED9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DA SILVEIRA MEDEIROS, </w:t>
      </w:r>
      <w:proofErr w:type="spellStart"/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Lamara</w:t>
      </w:r>
      <w:proofErr w:type="spellEnd"/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Saron. Importância do controle glicêmico como forma de prevenir complicações crônicas do diabetes mellitus. </w:t>
      </w:r>
      <w:r w:rsidRPr="00B541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RBAC</w:t>
      </w: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v. 48, n. 3, p. 262-7, 2016.</w:t>
      </w:r>
    </w:p>
    <w:p w14:paraId="29D9BF65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sz w:val="24"/>
          <w:szCs w:val="24"/>
        </w:rPr>
        <w:t>Erfurt-</w:t>
      </w:r>
      <w:proofErr w:type="spellStart"/>
      <w:r w:rsidRPr="00B54147">
        <w:rPr>
          <w:rFonts w:ascii="Times New Roman" w:hAnsi="Times New Roman"/>
          <w:sz w:val="24"/>
          <w:szCs w:val="24"/>
        </w:rPr>
        <w:t>Berge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B54147">
        <w:rPr>
          <w:rFonts w:ascii="Times New Roman" w:hAnsi="Times New Roman"/>
          <w:sz w:val="24"/>
          <w:szCs w:val="24"/>
        </w:rPr>
        <w:t>Seitz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B54147">
        <w:rPr>
          <w:rFonts w:ascii="Times New Roman" w:hAnsi="Times New Roman"/>
          <w:sz w:val="24"/>
          <w:szCs w:val="24"/>
        </w:rPr>
        <w:t>Rehse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B54147">
        <w:rPr>
          <w:rFonts w:ascii="Times New Roman" w:hAnsi="Times New Roman"/>
          <w:sz w:val="24"/>
          <w:szCs w:val="24"/>
        </w:rPr>
        <w:t>Wollina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U, </w:t>
      </w:r>
      <w:proofErr w:type="spellStart"/>
      <w:r w:rsidRPr="00B54147">
        <w:rPr>
          <w:rFonts w:ascii="Times New Roman" w:hAnsi="Times New Roman"/>
          <w:sz w:val="24"/>
          <w:szCs w:val="24"/>
        </w:rPr>
        <w:t>Schwede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K, Renner R. Update </w:t>
      </w:r>
      <w:proofErr w:type="spellStart"/>
      <w:r w:rsidRPr="00B54147">
        <w:rPr>
          <w:rFonts w:ascii="Times New Roman" w:hAnsi="Times New Roman"/>
          <w:sz w:val="24"/>
          <w:szCs w:val="24"/>
        </w:rPr>
        <w:t>on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clinical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and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laboratory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features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4147">
        <w:rPr>
          <w:rFonts w:ascii="Times New Roman" w:hAnsi="Times New Roman"/>
          <w:sz w:val="24"/>
          <w:szCs w:val="24"/>
        </w:rPr>
        <w:t>necrobiosis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lipoidica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B54147">
        <w:rPr>
          <w:rFonts w:ascii="Times New Roman" w:hAnsi="Times New Roman"/>
          <w:sz w:val="24"/>
          <w:szCs w:val="24"/>
        </w:rPr>
        <w:t>retrospective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multicentre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study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of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52 </w:t>
      </w:r>
      <w:proofErr w:type="spellStart"/>
      <w:r w:rsidRPr="00B54147">
        <w:rPr>
          <w:rFonts w:ascii="Times New Roman" w:hAnsi="Times New Roman"/>
          <w:sz w:val="24"/>
          <w:szCs w:val="24"/>
        </w:rPr>
        <w:t>patients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4147">
        <w:rPr>
          <w:rFonts w:ascii="Times New Roman" w:hAnsi="Times New Roman"/>
          <w:b/>
          <w:bCs/>
          <w:sz w:val="24"/>
          <w:szCs w:val="24"/>
        </w:rPr>
        <w:t>Eur</w:t>
      </w:r>
      <w:proofErr w:type="spellEnd"/>
      <w:r w:rsidRPr="00B54147">
        <w:rPr>
          <w:rFonts w:ascii="Times New Roman" w:hAnsi="Times New Roman"/>
          <w:b/>
          <w:bCs/>
          <w:sz w:val="24"/>
          <w:szCs w:val="24"/>
        </w:rPr>
        <w:t xml:space="preserve"> J Dermatol</w:t>
      </w:r>
      <w:r w:rsidRPr="00B541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4147">
        <w:rPr>
          <w:rFonts w:ascii="Times New Roman" w:hAnsi="Times New Roman"/>
          <w:sz w:val="24"/>
          <w:szCs w:val="24"/>
        </w:rPr>
        <w:t>2012;22:770</w:t>
      </w:r>
      <w:proofErr w:type="gramEnd"/>
      <w:r w:rsidRPr="00B54147">
        <w:rPr>
          <w:rFonts w:ascii="Times New Roman" w:hAnsi="Times New Roman"/>
          <w:sz w:val="24"/>
          <w:szCs w:val="24"/>
        </w:rPr>
        <w:t>-5.</w:t>
      </w:r>
    </w:p>
    <w:p w14:paraId="219040E3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sz w:val="24"/>
          <w:szCs w:val="24"/>
        </w:rPr>
        <w:t xml:space="preserve">Hammer E, </w:t>
      </w:r>
      <w:proofErr w:type="spellStart"/>
      <w:r w:rsidRPr="00B54147">
        <w:rPr>
          <w:rFonts w:ascii="Times New Roman" w:hAnsi="Times New Roman"/>
          <w:sz w:val="24"/>
          <w:szCs w:val="24"/>
        </w:rPr>
        <w:t>Lilienthal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B54147">
        <w:rPr>
          <w:rFonts w:ascii="Times New Roman" w:hAnsi="Times New Roman"/>
          <w:sz w:val="24"/>
          <w:szCs w:val="24"/>
        </w:rPr>
        <w:t>Hofer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S, Schulz S, </w:t>
      </w:r>
      <w:proofErr w:type="spellStart"/>
      <w:r w:rsidRPr="00B54147">
        <w:rPr>
          <w:rFonts w:ascii="Times New Roman" w:hAnsi="Times New Roman"/>
          <w:sz w:val="24"/>
          <w:szCs w:val="24"/>
        </w:rPr>
        <w:t>Bollow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B54147">
        <w:rPr>
          <w:rFonts w:ascii="Times New Roman" w:hAnsi="Times New Roman"/>
          <w:sz w:val="24"/>
          <w:szCs w:val="24"/>
        </w:rPr>
        <w:t>Holl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R. Risk </w:t>
      </w:r>
      <w:proofErr w:type="spellStart"/>
      <w:r w:rsidRPr="00B54147">
        <w:rPr>
          <w:rFonts w:ascii="Times New Roman" w:hAnsi="Times New Roman"/>
          <w:sz w:val="24"/>
          <w:szCs w:val="24"/>
        </w:rPr>
        <w:t>factors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B54147">
        <w:rPr>
          <w:rFonts w:ascii="Times New Roman" w:hAnsi="Times New Roman"/>
          <w:sz w:val="24"/>
          <w:szCs w:val="24"/>
        </w:rPr>
        <w:t>necrobiosis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lipoidica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4147">
        <w:rPr>
          <w:rFonts w:ascii="Times New Roman" w:hAnsi="Times New Roman"/>
          <w:sz w:val="24"/>
          <w:szCs w:val="24"/>
        </w:rPr>
        <w:t>Type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1 diabetes mellitus. </w:t>
      </w:r>
      <w:proofErr w:type="spellStart"/>
      <w:r w:rsidRPr="00B54147">
        <w:rPr>
          <w:rFonts w:ascii="Times New Roman" w:hAnsi="Times New Roman"/>
          <w:b/>
          <w:bCs/>
          <w:sz w:val="24"/>
          <w:szCs w:val="24"/>
        </w:rPr>
        <w:t>Diabet</w:t>
      </w:r>
      <w:proofErr w:type="spellEnd"/>
      <w:r w:rsidRPr="00B54147">
        <w:rPr>
          <w:rFonts w:ascii="Times New Roman" w:hAnsi="Times New Roman"/>
          <w:b/>
          <w:bCs/>
          <w:sz w:val="24"/>
          <w:szCs w:val="24"/>
        </w:rPr>
        <w:t xml:space="preserve"> Med</w:t>
      </w:r>
      <w:r w:rsidRPr="00B541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4147">
        <w:rPr>
          <w:rFonts w:ascii="Times New Roman" w:hAnsi="Times New Roman"/>
          <w:sz w:val="24"/>
          <w:szCs w:val="24"/>
        </w:rPr>
        <w:t>2017;34:86</w:t>
      </w:r>
      <w:proofErr w:type="gramEnd"/>
      <w:r w:rsidRPr="00B54147">
        <w:rPr>
          <w:rFonts w:ascii="Times New Roman" w:hAnsi="Times New Roman"/>
          <w:sz w:val="24"/>
          <w:szCs w:val="24"/>
        </w:rPr>
        <w:t xml:space="preserve">-92.  </w:t>
      </w:r>
      <w:hyperlink r:id="rId11" w:history="1">
        <w:r w:rsidRPr="00B54147">
          <w:rPr>
            <w:rStyle w:val="Hyperlink"/>
            <w:rFonts w:ascii="Times New Roman" w:hAnsi="Times New Roman"/>
            <w:sz w:val="24"/>
            <w:szCs w:val="24"/>
          </w:rPr>
          <w:t>https://doi.org/10.1111/dme.13138</w:t>
        </w:r>
      </w:hyperlink>
      <w:r w:rsidRPr="00B54147">
        <w:rPr>
          <w:rFonts w:ascii="Times New Roman" w:hAnsi="Times New Roman"/>
          <w:sz w:val="24"/>
          <w:szCs w:val="24"/>
        </w:rPr>
        <w:t xml:space="preserve"> </w:t>
      </w:r>
    </w:p>
    <w:p w14:paraId="36160AF9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RIVITTI, Evandro A. </w:t>
      </w:r>
      <w:r w:rsidRPr="00B541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Dermatologia de Sampaio e Rivitti-4</w:t>
      </w: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Artes </w:t>
      </w:r>
      <w:proofErr w:type="gramStart"/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medicas</w:t>
      </w:r>
      <w:proofErr w:type="gramEnd"/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2018.</w:t>
      </w:r>
    </w:p>
    <w:p w14:paraId="06AFC961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ROCHA, Rogério Gonçalves et al. COMPLICAÇÃO DO DIABETES MELLITUS: uma revisão de literatura. </w:t>
      </w:r>
      <w:r w:rsidRPr="00B5414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Revista da Universidade Vale do Rio Verde</w:t>
      </w:r>
      <w:r w:rsidRPr="00B5414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v. 13, n. 2, p. 92-104, 2015.</w:t>
      </w:r>
    </w:p>
    <w:p w14:paraId="20CD3654" w14:textId="77777777" w:rsidR="00B54147" w:rsidRPr="00B54147" w:rsidRDefault="00B54147" w:rsidP="00B5414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54147">
        <w:rPr>
          <w:rFonts w:ascii="Times New Roman" w:hAnsi="Times New Roman"/>
          <w:sz w:val="24"/>
          <w:szCs w:val="24"/>
        </w:rPr>
        <w:t xml:space="preserve">Uva L, Freitas J, Soares de Almeida L, Vasques H, Moura C, Miguel D, Filipe P. </w:t>
      </w:r>
      <w:proofErr w:type="spellStart"/>
      <w:r w:rsidRPr="00B54147">
        <w:rPr>
          <w:rFonts w:ascii="Times New Roman" w:hAnsi="Times New Roman"/>
          <w:sz w:val="24"/>
          <w:szCs w:val="24"/>
        </w:rPr>
        <w:t>Squamous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cell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carcinoma </w:t>
      </w:r>
      <w:proofErr w:type="spellStart"/>
      <w:r w:rsidRPr="00B54147">
        <w:rPr>
          <w:rFonts w:ascii="Times New Roman" w:hAnsi="Times New Roman"/>
          <w:sz w:val="24"/>
          <w:szCs w:val="24"/>
        </w:rPr>
        <w:t>arising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4147">
        <w:rPr>
          <w:rFonts w:ascii="Times New Roman" w:hAnsi="Times New Roman"/>
          <w:sz w:val="24"/>
          <w:szCs w:val="24"/>
        </w:rPr>
        <w:t>ulcerated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necrobiosis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lipoidica</w:t>
      </w:r>
      <w:proofErr w:type="spellEnd"/>
      <w:r w:rsidRPr="00B54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sz w:val="24"/>
          <w:szCs w:val="24"/>
        </w:rPr>
        <w:t>diabeticorum</w:t>
      </w:r>
      <w:proofErr w:type="spellEnd"/>
      <w:r w:rsidRPr="00B54147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B54147">
        <w:rPr>
          <w:rFonts w:ascii="Times New Roman" w:hAnsi="Times New Roman"/>
          <w:b/>
          <w:bCs/>
          <w:sz w:val="24"/>
          <w:szCs w:val="24"/>
        </w:rPr>
        <w:t>Int</w:t>
      </w:r>
      <w:proofErr w:type="spellEnd"/>
      <w:r w:rsidRPr="00B541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4147">
        <w:rPr>
          <w:rFonts w:ascii="Times New Roman" w:hAnsi="Times New Roman"/>
          <w:b/>
          <w:bCs/>
          <w:sz w:val="24"/>
          <w:szCs w:val="24"/>
        </w:rPr>
        <w:t>Wound</w:t>
      </w:r>
      <w:proofErr w:type="spellEnd"/>
      <w:r w:rsidRPr="00B54147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Pr="00B541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4147">
        <w:rPr>
          <w:rFonts w:ascii="Times New Roman" w:hAnsi="Times New Roman"/>
          <w:sz w:val="24"/>
          <w:szCs w:val="24"/>
        </w:rPr>
        <w:t>2015;12:741</w:t>
      </w:r>
      <w:proofErr w:type="gramEnd"/>
      <w:r w:rsidRPr="00B54147">
        <w:rPr>
          <w:rFonts w:ascii="Times New Roman" w:hAnsi="Times New Roman"/>
          <w:sz w:val="24"/>
          <w:szCs w:val="24"/>
        </w:rPr>
        <w:t xml:space="preserve">-3. </w:t>
      </w:r>
      <w:hyperlink r:id="rId12" w:history="1">
        <w:r w:rsidRPr="00B54147">
          <w:rPr>
            <w:rStyle w:val="Hyperlink"/>
            <w:rFonts w:ascii="Times New Roman" w:hAnsi="Times New Roman"/>
            <w:sz w:val="24"/>
            <w:szCs w:val="24"/>
          </w:rPr>
          <w:t>https://doi.org/10.1111/iwj.12206</w:t>
        </w:r>
      </w:hyperlink>
    </w:p>
    <w:p w14:paraId="64DB6EC2" w14:textId="77777777" w:rsidR="00702E08" w:rsidRPr="009544B0" w:rsidRDefault="00702E08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702E08" w:rsidRPr="009544B0" w:rsidSect="00E55A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D68A" w14:textId="77777777" w:rsidR="00EF4FD5" w:rsidRDefault="00EF4FD5" w:rsidP="002E5B84">
      <w:pPr>
        <w:spacing w:after="0" w:line="240" w:lineRule="auto"/>
      </w:pPr>
      <w:r>
        <w:separator/>
      </w:r>
    </w:p>
  </w:endnote>
  <w:endnote w:type="continuationSeparator" w:id="0">
    <w:p w14:paraId="5DA3BD12" w14:textId="77777777" w:rsidR="00EF4FD5" w:rsidRDefault="00EF4FD5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62E7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61CBEA31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66E4556E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B955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3097A941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14:paraId="4544DF01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7575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0D7D060A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105D5CEA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5459" w14:textId="77777777" w:rsidR="00EF4FD5" w:rsidRDefault="00EF4FD5" w:rsidP="002E5B84">
      <w:pPr>
        <w:spacing w:after="0" w:line="240" w:lineRule="auto"/>
      </w:pPr>
      <w:r>
        <w:separator/>
      </w:r>
    </w:p>
  </w:footnote>
  <w:footnote w:type="continuationSeparator" w:id="0">
    <w:p w14:paraId="17312B00" w14:textId="77777777" w:rsidR="00EF4FD5" w:rsidRDefault="00EF4FD5" w:rsidP="002E5B84">
      <w:pPr>
        <w:spacing w:after="0" w:line="240" w:lineRule="auto"/>
      </w:pPr>
      <w:r>
        <w:continuationSeparator/>
      </w:r>
    </w:p>
  </w:footnote>
  <w:footnote w:id="1">
    <w:p w14:paraId="372D04A0" w14:textId="7CF80150" w:rsidR="00A07B59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627DB1">
        <w:rPr>
          <w:rFonts w:ascii="Times New Roman" w:hAnsi="Times New Roman"/>
        </w:rPr>
        <w:t xml:space="preserve">Acadêmico de Medicina da Faculdade Assis </w:t>
      </w:r>
      <w:proofErr w:type="spellStart"/>
      <w:r w:rsidR="00627DB1">
        <w:rPr>
          <w:rFonts w:ascii="Times New Roman" w:hAnsi="Times New Roman"/>
        </w:rPr>
        <w:t>Gurgacz</w:t>
      </w:r>
      <w:proofErr w:type="spellEnd"/>
      <w:r w:rsidR="00627DB1">
        <w:rPr>
          <w:rFonts w:ascii="Times New Roman" w:hAnsi="Times New Roman"/>
        </w:rPr>
        <w:t>.</w:t>
      </w:r>
      <w:r w:rsidR="002476A2" w:rsidRPr="009544B0">
        <w:rPr>
          <w:rFonts w:ascii="Times New Roman" w:hAnsi="Times New Roman"/>
        </w:rPr>
        <w:t xml:space="preserve"> E-mail:</w:t>
      </w:r>
      <w:r w:rsidR="00A07B59">
        <w:rPr>
          <w:rFonts w:ascii="Times New Roman" w:hAnsi="Times New Roman"/>
        </w:rPr>
        <w:t xml:space="preserve"> </w:t>
      </w:r>
      <w:hyperlink r:id="rId1" w:history="1">
        <w:r w:rsidR="00A07B59" w:rsidRPr="00730476">
          <w:rPr>
            <w:rStyle w:val="Hyperlink"/>
            <w:rFonts w:ascii="Times New Roman" w:hAnsi="Times New Roman"/>
          </w:rPr>
          <w:t>uyedaeduardo@gmail.com</w:t>
        </w:r>
      </w:hyperlink>
    </w:p>
  </w:footnote>
  <w:footnote w:id="2">
    <w:p w14:paraId="25242F3A" w14:textId="3E593075" w:rsidR="00955F2B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627DB1">
        <w:rPr>
          <w:rFonts w:ascii="Times New Roman" w:hAnsi="Times New Roman"/>
        </w:rPr>
        <w:t xml:space="preserve">Acadêmico de Medicina da Faculdade Assis </w:t>
      </w:r>
      <w:proofErr w:type="spellStart"/>
      <w:r w:rsidR="00627DB1">
        <w:rPr>
          <w:rFonts w:ascii="Times New Roman" w:hAnsi="Times New Roman"/>
        </w:rPr>
        <w:t>Gurgacz</w:t>
      </w:r>
      <w:proofErr w:type="spellEnd"/>
      <w:r w:rsidR="00627DB1">
        <w:rPr>
          <w:rFonts w:ascii="Times New Roman" w:hAnsi="Times New Roman"/>
        </w:rPr>
        <w:t>.</w:t>
      </w:r>
      <w:r w:rsidR="002476A2" w:rsidRPr="009544B0">
        <w:rPr>
          <w:rFonts w:ascii="Times New Roman" w:hAnsi="Times New Roman"/>
        </w:rPr>
        <w:t xml:space="preserve"> E-mail:</w:t>
      </w:r>
      <w:r w:rsidR="00955F2B">
        <w:rPr>
          <w:rFonts w:ascii="Times New Roman" w:hAnsi="Times New Roman"/>
        </w:rPr>
        <w:t xml:space="preserve"> </w:t>
      </w:r>
      <w:hyperlink r:id="rId2" w:history="1">
        <w:r w:rsidR="00955F2B" w:rsidRPr="00730476">
          <w:rPr>
            <w:rStyle w:val="Hyperlink"/>
            <w:rFonts w:ascii="Times New Roman" w:hAnsi="Times New Roman"/>
          </w:rPr>
          <w:t>mariatomasson@hotmail.com</w:t>
        </w:r>
      </w:hyperlink>
      <w:r w:rsidR="00955F2B">
        <w:rPr>
          <w:rFonts w:ascii="Times New Roman" w:hAnsi="Times New Roman"/>
        </w:rPr>
        <w:t xml:space="preserve"> </w:t>
      </w:r>
    </w:p>
  </w:footnote>
  <w:footnote w:id="3">
    <w:p w14:paraId="253642DB" w14:textId="1E46CA59" w:rsidR="00A07B59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Style w:val="Refdenotaderodap"/>
          <w:rFonts w:ascii="Times New Roman" w:hAnsi="Times New Roman"/>
        </w:rPr>
        <w:footnoteRef/>
      </w:r>
      <w:r w:rsidR="00A07B59">
        <w:rPr>
          <w:rFonts w:ascii="Times New Roman" w:hAnsi="Times New Roman"/>
        </w:rPr>
        <w:t>Professor de Medicina na Universidade Estadual do Oeste do Paraná (UNIOESTE).</w:t>
      </w:r>
      <w:r w:rsidR="002476A2" w:rsidRPr="009544B0">
        <w:rPr>
          <w:rFonts w:ascii="Times New Roman" w:hAnsi="Times New Roman"/>
        </w:rPr>
        <w:t xml:space="preserve"> E-mail:</w:t>
      </w:r>
      <w:r w:rsidR="00A07B59">
        <w:rPr>
          <w:rFonts w:ascii="Times New Roman" w:hAnsi="Times New Roman"/>
        </w:rPr>
        <w:t xml:space="preserve"> </w:t>
      </w:r>
      <w:hyperlink r:id="rId3" w:history="1">
        <w:r w:rsidR="00A07B59" w:rsidRPr="00730476">
          <w:rPr>
            <w:rStyle w:val="Hyperlink"/>
            <w:rFonts w:ascii="Times New Roman" w:hAnsi="Times New Roman"/>
          </w:rPr>
          <w:t>hirofumiuyeda@uol.com.br</w:t>
        </w:r>
      </w:hyperlink>
    </w:p>
    <w:p w14:paraId="05C716F1" w14:textId="70FC68A1" w:rsidR="00955F2B" w:rsidRDefault="00AB1EBE" w:rsidP="00621E32">
      <w:pPr>
        <w:pStyle w:val="Textodenotaderodap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A07B59" w:rsidRPr="00955F2B">
        <w:rPr>
          <w:rFonts w:ascii="Times New Roman" w:hAnsi="Times New Roman"/>
        </w:rPr>
        <w:t>Doutor</w:t>
      </w:r>
      <w:r w:rsidR="00A07B59">
        <w:rPr>
          <w:rFonts w:ascii="Times New Roman" w:hAnsi="Times New Roman"/>
        </w:rPr>
        <w:t xml:space="preserve"> em Patologia pela Universidade de São Paulo (</w:t>
      </w:r>
      <w:r w:rsidR="00955F2B">
        <w:rPr>
          <w:rFonts w:ascii="Times New Roman" w:hAnsi="Times New Roman"/>
        </w:rPr>
        <w:t xml:space="preserve">FMUSP-SP). E-mail: </w:t>
      </w:r>
      <w:hyperlink r:id="rId4" w:history="1">
        <w:r w:rsidR="00955F2B" w:rsidRPr="00730476">
          <w:rPr>
            <w:rStyle w:val="Hyperlink"/>
            <w:rFonts w:ascii="Times New Roman" w:hAnsi="Times New Roman"/>
          </w:rPr>
          <w:t>carlos@labapc.com.br</w:t>
        </w:r>
      </w:hyperlink>
    </w:p>
    <w:p w14:paraId="66A7B265" w14:textId="77777777" w:rsidR="00955F2B" w:rsidRPr="00A07B59" w:rsidRDefault="00955F2B" w:rsidP="00621E32">
      <w:pPr>
        <w:pStyle w:val="Textodenotaderodap"/>
        <w:contextualSpacing/>
        <w:jc w:val="both"/>
        <w:rPr>
          <w:rFonts w:ascii="Times New Roman" w:hAnsi="Times New Roman"/>
        </w:rPr>
      </w:pPr>
    </w:p>
    <w:p w14:paraId="0602EB89" w14:textId="2582C7C3" w:rsidR="006B6235" w:rsidRPr="009544B0" w:rsidRDefault="006B6235" w:rsidP="00621E32">
      <w:pPr>
        <w:pStyle w:val="Textodenotaderodap"/>
        <w:contextualSpacing/>
        <w:jc w:val="both"/>
        <w:rPr>
          <w:rFonts w:ascii="Times New Roman" w:hAnsi="Times New Roman"/>
        </w:rPr>
      </w:pPr>
      <w:r w:rsidRPr="009544B0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66D0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3D4075CB" wp14:editId="6CF3BDE4">
          <wp:extent cx="6115050" cy="885825"/>
          <wp:effectExtent l="0" t="0" r="0" b="0"/>
          <wp:docPr id="1" name="Imagem 1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8009" w14:textId="77777777" w:rsidR="00F101C0" w:rsidRDefault="00EF4FD5" w:rsidP="00F101C0">
    <w:pPr>
      <w:pStyle w:val="Cabealho"/>
    </w:pPr>
    <w:r>
      <w:pict w14:anchorId="5DC8D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72.75pt">
          <v:imagedata r:id="rId1" o:title="cabe ECC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D8EB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7D0222A5" wp14:editId="55F81FC2">
          <wp:extent cx="6115050" cy="885825"/>
          <wp:effectExtent l="0" t="0" r="0" b="0"/>
          <wp:docPr id="3" name="Imagem 3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BF756F"/>
    <w:multiLevelType w:val="hybridMultilevel"/>
    <w:tmpl w:val="6018F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0"/>
    <w:rsid w:val="00024F16"/>
    <w:rsid w:val="0003128C"/>
    <w:rsid w:val="00043450"/>
    <w:rsid w:val="00075501"/>
    <w:rsid w:val="0007628C"/>
    <w:rsid w:val="00093804"/>
    <w:rsid w:val="000A3DAD"/>
    <w:rsid w:val="000B74E8"/>
    <w:rsid w:val="001012B0"/>
    <w:rsid w:val="0010175E"/>
    <w:rsid w:val="00112954"/>
    <w:rsid w:val="00126B69"/>
    <w:rsid w:val="00137A4B"/>
    <w:rsid w:val="00154487"/>
    <w:rsid w:val="001659CB"/>
    <w:rsid w:val="00183253"/>
    <w:rsid w:val="00184BCE"/>
    <w:rsid w:val="001B251D"/>
    <w:rsid w:val="001C1A95"/>
    <w:rsid w:val="001C5BD3"/>
    <w:rsid w:val="001C5BE2"/>
    <w:rsid w:val="001C77BF"/>
    <w:rsid w:val="001E72EA"/>
    <w:rsid w:val="001E7C07"/>
    <w:rsid w:val="00215136"/>
    <w:rsid w:val="00216293"/>
    <w:rsid w:val="00240EF9"/>
    <w:rsid w:val="00246D0C"/>
    <w:rsid w:val="002476A2"/>
    <w:rsid w:val="0026594E"/>
    <w:rsid w:val="00271884"/>
    <w:rsid w:val="0027216C"/>
    <w:rsid w:val="002801F7"/>
    <w:rsid w:val="002933CE"/>
    <w:rsid w:val="002A7543"/>
    <w:rsid w:val="002B5AF9"/>
    <w:rsid w:val="002E47BA"/>
    <w:rsid w:val="002E5B84"/>
    <w:rsid w:val="002E7729"/>
    <w:rsid w:val="002F37B6"/>
    <w:rsid w:val="003164BC"/>
    <w:rsid w:val="00317A59"/>
    <w:rsid w:val="003331BF"/>
    <w:rsid w:val="00342636"/>
    <w:rsid w:val="003926D6"/>
    <w:rsid w:val="003A05F5"/>
    <w:rsid w:val="003A4D90"/>
    <w:rsid w:val="003F3FEA"/>
    <w:rsid w:val="004321A9"/>
    <w:rsid w:val="00470532"/>
    <w:rsid w:val="004C2467"/>
    <w:rsid w:val="004C712E"/>
    <w:rsid w:val="004E16E7"/>
    <w:rsid w:val="004E3A84"/>
    <w:rsid w:val="004F6214"/>
    <w:rsid w:val="005064B1"/>
    <w:rsid w:val="005369A0"/>
    <w:rsid w:val="00537DEF"/>
    <w:rsid w:val="00544995"/>
    <w:rsid w:val="005458B2"/>
    <w:rsid w:val="0055575A"/>
    <w:rsid w:val="005611AB"/>
    <w:rsid w:val="0056408B"/>
    <w:rsid w:val="0059449A"/>
    <w:rsid w:val="005B1FFD"/>
    <w:rsid w:val="005B5044"/>
    <w:rsid w:val="005C12B3"/>
    <w:rsid w:val="005D462D"/>
    <w:rsid w:val="005E11CE"/>
    <w:rsid w:val="005E124D"/>
    <w:rsid w:val="005E703E"/>
    <w:rsid w:val="0060122C"/>
    <w:rsid w:val="006022DC"/>
    <w:rsid w:val="0062036E"/>
    <w:rsid w:val="0062121F"/>
    <w:rsid w:val="00621E32"/>
    <w:rsid w:val="00627DB1"/>
    <w:rsid w:val="00641CA7"/>
    <w:rsid w:val="00661E5F"/>
    <w:rsid w:val="006A2FDE"/>
    <w:rsid w:val="006A541A"/>
    <w:rsid w:val="006B6235"/>
    <w:rsid w:val="006D0181"/>
    <w:rsid w:val="006D13AA"/>
    <w:rsid w:val="006D5194"/>
    <w:rsid w:val="006E53D1"/>
    <w:rsid w:val="006F46EE"/>
    <w:rsid w:val="006F557D"/>
    <w:rsid w:val="007006AC"/>
    <w:rsid w:val="00702E08"/>
    <w:rsid w:val="00705796"/>
    <w:rsid w:val="0071287A"/>
    <w:rsid w:val="00723602"/>
    <w:rsid w:val="00726E3F"/>
    <w:rsid w:val="007409A0"/>
    <w:rsid w:val="00750C86"/>
    <w:rsid w:val="007541E1"/>
    <w:rsid w:val="00756812"/>
    <w:rsid w:val="00760F8D"/>
    <w:rsid w:val="007734EA"/>
    <w:rsid w:val="007816FC"/>
    <w:rsid w:val="007A06EC"/>
    <w:rsid w:val="007C5832"/>
    <w:rsid w:val="007D5035"/>
    <w:rsid w:val="007E5FF2"/>
    <w:rsid w:val="007E7381"/>
    <w:rsid w:val="00814B74"/>
    <w:rsid w:val="00841795"/>
    <w:rsid w:val="00850D61"/>
    <w:rsid w:val="008518CF"/>
    <w:rsid w:val="00866194"/>
    <w:rsid w:val="008A757C"/>
    <w:rsid w:val="008E01A1"/>
    <w:rsid w:val="008E1D5B"/>
    <w:rsid w:val="008E4BDA"/>
    <w:rsid w:val="008F7E8A"/>
    <w:rsid w:val="009333C2"/>
    <w:rsid w:val="009448BA"/>
    <w:rsid w:val="009470F6"/>
    <w:rsid w:val="009544B0"/>
    <w:rsid w:val="00954CFA"/>
    <w:rsid w:val="00955F2B"/>
    <w:rsid w:val="009603BE"/>
    <w:rsid w:val="00983451"/>
    <w:rsid w:val="00993FB1"/>
    <w:rsid w:val="009A1615"/>
    <w:rsid w:val="009A373A"/>
    <w:rsid w:val="009B6A82"/>
    <w:rsid w:val="009C24EB"/>
    <w:rsid w:val="009E4599"/>
    <w:rsid w:val="009E5671"/>
    <w:rsid w:val="009F51C7"/>
    <w:rsid w:val="00A07B59"/>
    <w:rsid w:val="00A16C12"/>
    <w:rsid w:val="00A32D83"/>
    <w:rsid w:val="00A428C0"/>
    <w:rsid w:val="00A50670"/>
    <w:rsid w:val="00A5413B"/>
    <w:rsid w:val="00A75F01"/>
    <w:rsid w:val="00AB1EBE"/>
    <w:rsid w:val="00B04D99"/>
    <w:rsid w:val="00B43A45"/>
    <w:rsid w:val="00B50407"/>
    <w:rsid w:val="00B54147"/>
    <w:rsid w:val="00B80426"/>
    <w:rsid w:val="00BB4ACF"/>
    <w:rsid w:val="00BD241E"/>
    <w:rsid w:val="00BE4A4E"/>
    <w:rsid w:val="00C5764A"/>
    <w:rsid w:val="00C62687"/>
    <w:rsid w:val="00C65B79"/>
    <w:rsid w:val="00CB5A9C"/>
    <w:rsid w:val="00CB7FBF"/>
    <w:rsid w:val="00CF63AB"/>
    <w:rsid w:val="00D03FE2"/>
    <w:rsid w:val="00D239A4"/>
    <w:rsid w:val="00D40384"/>
    <w:rsid w:val="00D44448"/>
    <w:rsid w:val="00D5585D"/>
    <w:rsid w:val="00D57084"/>
    <w:rsid w:val="00D607A4"/>
    <w:rsid w:val="00D70230"/>
    <w:rsid w:val="00DC0194"/>
    <w:rsid w:val="00DC6C07"/>
    <w:rsid w:val="00DD0DCF"/>
    <w:rsid w:val="00DD647E"/>
    <w:rsid w:val="00DE414C"/>
    <w:rsid w:val="00E01E17"/>
    <w:rsid w:val="00E36D06"/>
    <w:rsid w:val="00E36F22"/>
    <w:rsid w:val="00E37C87"/>
    <w:rsid w:val="00E55AA8"/>
    <w:rsid w:val="00E9151D"/>
    <w:rsid w:val="00ED01E8"/>
    <w:rsid w:val="00ED1DB5"/>
    <w:rsid w:val="00ED3B52"/>
    <w:rsid w:val="00EF4FD5"/>
    <w:rsid w:val="00F01792"/>
    <w:rsid w:val="00F101C0"/>
    <w:rsid w:val="00F244D8"/>
    <w:rsid w:val="00F40481"/>
    <w:rsid w:val="00F64671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A60B9"/>
  <w15:chartTrackingRefBased/>
  <w15:docId w15:val="{1EF18ECE-700B-4473-A1E8-8DC7755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34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character" w:styleId="MenoPendente">
    <w:name w:val="Unresolved Mention"/>
    <w:basedOn w:val="Fontepargpadro"/>
    <w:uiPriority w:val="99"/>
    <w:semiHidden/>
    <w:unhideWhenUsed/>
    <w:rsid w:val="00A0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11/iwj.1220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dme.131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hirofumiuyeda@uol.com.br" TargetMode="External"/><Relationship Id="rId2" Type="http://schemas.openxmlformats.org/officeDocument/2006/relationships/hyperlink" Target="mailto:mariatomasson@hotmail.com" TargetMode="External"/><Relationship Id="rId1" Type="http://schemas.openxmlformats.org/officeDocument/2006/relationships/hyperlink" Target="mailto:uyedaeduardo@gmail.com" TargetMode="External"/><Relationship Id="rId4" Type="http://schemas.openxmlformats.org/officeDocument/2006/relationships/hyperlink" Target="mailto:carlos@labap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6891-F794-4FEA-95BB-E0F169B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1265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cp:lastModifiedBy>Eduardo Uyeda</cp:lastModifiedBy>
  <cp:revision>2</cp:revision>
  <cp:lastPrinted>2017-08-23T18:44:00Z</cp:lastPrinted>
  <dcterms:created xsi:type="dcterms:W3CDTF">2021-10-13T19:03:00Z</dcterms:created>
  <dcterms:modified xsi:type="dcterms:W3CDTF">2021-10-13T19:03:00Z</dcterms:modified>
</cp:coreProperties>
</file>